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772A" w14:textId="37DD8433" w:rsidR="00721225" w:rsidRPr="00721225" w:rsidRDefault="00721225" w:rsidP="00721225">
      <w:pPr>
        <w:pStyle w:val="Heading3"/>
        <w:jc w:val="both"/>
        <w:rPr>
          <w:rStyle w:val="Strong"/>
          <w:rFonts w:eastAsia="Times New Roman" w:cs="Times New Roman"/>
          <w:b w:val="0"/>
          <w:bCs w:val="0"/>
          <w:kern w:val="0"/>
          <w:lang w:val="en-US" w:eastAsia="en-GB"/>
          <w14:ligatures w14:val="none"/>
        </w:rPr>
      </w:pPr>
      <w:r w:rsidRPr="00721225">
        <w:rPr>
          <w:rFonts w:cs="Helvetica Neue"/>
          <w:b/>
          <w:bCs/>
          <w:color w:val="000000"/>
          <w:kern w:val="0"/>
          <w:lang w:val="en-US"/>
        </w:rPr>
        <w:t xml:space="preserve">Targeted Use of </w:t>
      </w:r>
      <w:proofErr w:type="spellStart"/>
      <w:r w:rsidRPr="00721225">
        <w:rPr>
          <w:rFonts w:cs="Helvetica Neue"/>
          <w:b/>
          <w:bCs/>
          <w:color w:val="000000"/>
          <w:kern w:val="0"/>
          <w:lang w:val="en-US"/>
        </w:rPr>
        <w:t>CytoSorb</w:t>
      </w:r>
      <w:proofErr w:type="spellEnd"/>
      <w:r w:rsidRPr="00721225">
        <w:rPr>
          <w:rFonts w:cs="Helvetica Neue"/>
          <w:b/>
          <w:bCs/>
          <w:color w:val="000000"/>
          <w:kern w:val="0"/>
          <w:lang w:val="en-US"/>
        </w:rPr>
        <w:t xml:space="preserve"> in Septic Shock Linked to Reduced Mortality and Vasopressor Need - new meta-analysis</w:t>
      </w:r>
    </w:p>
    <w:p w14:paraId="33F04220" w14:textId="77777777" w:rsidR="00721225" w:rsidRPr="00721225" w:rsidRDefault="00721225" w:rsidP="00721225">
      <w:pPr>
        <w:jc w:val="both"/>
        <w:rPr>
          <w:lang w:val="en-US" w:eastAsia="en-GB"/>
        </w:rPr>
      </w:pPr>
    </w:p>
    <w:p w14:paraId="2325A47C" w14:textId="77777777" w:rsidR="00721225" w:rsidRPr="00721225" w:rsidRDefault="00721225" w:rsidP="00721225">
      <w:pPr>
        <w:pStyle w:val="NormalWeb"/>
        <w:jc w:val="both"/>
        <w:rPr>
          <w:rFonts w:asciiTheme="minorHAnsi" w:hAnsiTheme="minorHAnsi"/>
          <w:lang w:val="en-US"/>
        </w:rPr>
      </w:pPr>
      <w:r w:rsidRPr="00721225">
        <w:rPr>
          <w:rFonts w:asciiTheme="minorHAnsi" w:hAnsiTheme="minorHAnsi"/>
          <w:lang w:val="en-US"/>
        </w:rPr>
        <w:t xml:space="preserve">A newly published meta-analysis by Steindl et al. in </w:t>
      </w:r>
      <w:r w:rsidRPr="00721225">
        <w:rPr>
          <w:rStyle w:val="Emphasis"/>
          <w:rFonts w:asciiTheme="minorHAnsi" w:eastAsiaTheme="majorEastAsia" w:hAnsiTheme="minorHAnsi"/>
          <w:lang w:val="en-US"/>
        </w:rPr>
        <w:t>J Clin Med</w:t>
      </w:r>
      <w:r w:rsidRPr="00721225">
        <w:rPr>
          <w:rFonts w:asciiTheme="minorHAnsi" w:hAnsiTheme="minorHAnsi"/>
          <w:lang w:val="en-US"/>
        </w:rPr>
        <w:t xml:space="preserve"> (</w:t>
      </w:r>
      <w:proofErr w:type="gramStart"/>
      <w:r w:rsidRPr="00721225">
        <w:rPr>
          <w:rFonts w:asciiTheme="minorHAnsi" w:hAnsiTheme="minorHAnsi"/>
          <w:lang w:val="en-US"/>
        </w:rPr>
        <w:t>2025;14:2285</w:t>
      </w:r>
      <w:proofErr w:type="gramEnd"/>
      <w:r w:rsidRPr="00721225">
        <w:rPr>
          <w:rFonts w:asciiTheme="minorHAnsi" w:hAnsiTheme="minorHAnsi"/>
          <w:lang w:val="en-US"/>
        </w:rPr>
        <w:t xml:space="preserve">) presents compelling evidence for the effectiveness of </w:t>
      </w:r>
      <w:proofErr w:type="spellStart"/>
      <w:r w:rsidRPr="00721225">
        <w:rPr>
          <w:rFonts w:asciiTheme="minorHAnsi" w:hAnsiTheme="minorHAnsi"/>
          <w:lang w:val="en-US"/>
        </w:rPr>
        <w:t>CytoSorb</w:t>
      </w:r>
      <w:proofErr w:type="spellEnd"/>
      <w:r w:rsidRPr="00721225">
        <w:rPr>
          <w:rFonts w:asciiTheme="minorHAnsi" w:hAnsiTheme="minorHAnsi"/>
          <w:lang w:val="en-US"/>
        </w:rPr>
        <w:t xml:space="preserve"> </w:t>
      </w:r>
      <w:proofErr w:type="spellStart"/>
      <w:r w:rsidRPr="00721225">
        <w:rPr>
          <w:rFonts w:asciiTheme="minorHAnsi" w:hAnsiTheme="minorHAnsi"/>
          <w:lang w:val="en-US"/>
        </w:rPr>
        <w:t>hemoadsorption</w:t>
      </w:r>
      <w:proofErr w:type="spellEnd"/>
      <w:r w:rsidRPr="00721225">
        <w:rPr>
          <w:rFonts w:asciiTheme="minorHAnsi" w:hAnsiTheme="minorHAnsi"/>
          <w:lang w:val="en-US"/>
        </w:rPr>
        <w:t xml:space="preserve"> therapy in patients with </w:t>
      </w:r>
      <w:r w:rsidRPr="00721225">
        <w:rPr>
          <w:rStyle w:val="Strong"/>
          <w:rFonts w:asciiTheme="minorHAnsi" w:eastAsiaTheme="majorEastAsia" w:hAnsiTheme="minorHAnsi"/>
          <w:lang w:val="en-US"/>
        </w:rPr>
        <w:t>septic shock</w:t>
      </w:r>
      <w:r w:rsidRPr="00721225">
        <w:rPr>
          <w:rFonts w:asciiTheme="minorHAnsi" w:hAnsiTheme="minorHAnsi"/>
          <w:lang w:val="en-US"/>
        </w:rPr>
        <w:t>—a patient group not yet targeted specifically in prior meta-analyses.</w:t>
      </w:r>
    </w:p>
    <w:p w14:paraId="7624013C" w14:textId="77777777" w:rsidR="00721225" w:rsidRPr="00721225" w:rsidRDefault="00721225" w:rsidP="00721225">
      <w:pPr>
        <w:pStyle w:val="Heading4"/>
        <w:jc w:val="both"/>
        <w:rPr>
          <w:lang w:val="en-US"/>
        </w:rPr>
      </w:pPr>
      <w:r w:rsidRPr="00721225">
        <w:rPr>
          <w:rStyle w:val="Strong"/>
          <w:b w:val="0"/>
          <w:bCs w:val="0"/>
          <w:lang w:val="en-US"/>
        </w:rPr>
        <w:t>Why This Meta-Analysis Stands Out</w:t>
      </w:r>
    </w:p>
    <w:p w14:paraId="5E5052FB" w14:textId="77777777" w:rsidR="00721225" w:rsidRPr="00721225" w:rsidRDefault="00721225" w:rsidP="00721225">
      <w:pPr>
        <w:pStyle w:val="NormalWeb"/>
        <w:jc w:val="both"/>
        <w:rPr>
          <w:rFonts w:asciiTheme="minorHAnsi" w:hAnsiTheme="minorHAnsi"/>
          <w:lang w:val="en-US"/>
        </w:rPr>
      </w:pPr>
      <w:r w:rsidRPr="00721225">
        <w:rPr>
          <w:rFonts w:asciiTheme="minorHAnsi" w:hAnsiTheme="minorHAnsi"/>
          <w:lang w:val="en-US"/>
        </w:rPr>
        <w:t xml:space="preserve">Unlike earlier meta-analyses, which often produced neutral or negative results, this study </w:t>
      </w:r>
      <w:r w:rsidRPr="00721225">
        <w:rPr>
          <w:rStyle w:val="Strong"/>
          <w:rFonts w:asciiTheme="minorHAnsi" w:eastAsiaTheme="majorEastAsia" w:hAnsiTheme="minorHAnsi"/>
          <w:lang w:val="en-US"/>
        </w:rPr>
        <w:t>focuses exclusively on patients with septic shock</w:t>
      </w:r>
      <w:r w:rsidRPr="00721225">
        <w:rPr>
          <w:rFonts w:asciiTheme="minorHAnsi" w:hAnsiTheme="minorHAnsi"/>
          <w:lang w:val="en-US"/>
        </w:rPr>
        <w:t>, a particularly severe form of sepsis marked by profound systemic inflammation and circulatory collapse. Previous research commonly pooled data from heterogeneous patient populations with varying sepsis severity, organ dysfunction, and inflammatory responses—factors that may have diluted potential benefits in more severely ill subgroups.</w:t>
      </w:r>
    </w:p>
    <w:p w14:paraId="4A8C4E82" w14:textId="77777777" w:rsidR="00721225" w:rsidRPr="00721225" w:rsidRDefault="00721225" w:rsidP="00721225">
      <w:pPr>
        <w:pStyle w:val="NormalWeb"/>
        <w:jc w:val="both"/>
        <w:rPr>
          <w:rFonts w:asciiTheme="minorHAnsi" w:hAnsiTheme="minorHAnsi"/>
          <w:lang w:val="en-US"/>
        </w:rPr>
      </w:pPr>
      <w:r w:rsidRPr="00721225">
        <w:rPr>
          <w:rFonts w:asciiTheme="minorHAnsi" w:hAnsiTheme="minorHAnsi"/>
          <w:lang w:val="en-US"/>
        </w:rPr>
        <w:t xml:space="preserve">By narrowing the scope to this critically ill cohort, the authors could </w:t>
      </w:r>
      <w:r w:rsidRPr="00721225">
        <w:rPr>
          <w:rStyle w:val="Strong"/>
          <w:rFonts w:asciiTheme="minorHAnsi" w:eastAsiaTheme="majorEastAsia" w:hAnsiTheme="minorHAnsi"/>
          <w:lang w:val="en-US"/>
        </w:rPr>
        <w:t xml:space="preserve">more accurately assess the efficacy of </w:t>
      </w:r>
      <w:proofErr w:type="spellStart"/>
      <w:r w:rsidRPr="00721225">
        <w:rPr>
          <w:rStyle w:val="Strong"/>
          <w:rFonts w:asciiTheme="minorHAnsi" w:eastAsiaTheme="majorEastAsia" w:hAnsiTheme="minorHAnsi"/>
          <w:lang w:val="en-US"/>
        </w:rPr>
        <w:t>CytoSorb</w:t>
      </w:r>
      <w:proofErr w:type="spellEnd"/>
      <w:r w:rsidRPr="00721225">
        <w:rPr>
          <w:rFonts w:asciiTheme="minorHAnsi" w:hAnsiTheme="minorHAnsi"/>
          <w:lang w:val="en-US"/>
        </w:rPr>
        <w:t xml:space="preserve">, highlighting the importance of </w:t>
      </w:r>
      <w:r w:rsidRPr="00721225">
        <w:rPr>
          <w:rStyle w:val="Strong"/>
          <w:rFonts w:asciiTheme="minorHAnsi" w:eastAsiaTheme="majorEastAsia" w:hAnsiTheme="minorHAnsi"/>
          <w:lang w:val="en-US"/>
        </w:rPr>
        <w:t>targeted patient selection</w:t>
      </w:r>
      <w:r w:rsidRPr="00721225">
        <w:rPr>
          <w:rFonts w:asciiTheme="minorHAnsi" w:hAnsiTheme="minorHAnsi"/>
          <w:lang w:val="en-US"/>
        </w:rPr>
        <w:t>.</w:t>
      </w:r>
    </w:p>
    <w:p w14:paraId="03ACBD94" w14:textId="77777777" w:rsidR="00721225" w:rsidRPr="00721225" w:rsidRDefault="00721225" w:rsidP="00721225">
      <w:pPr>
        <w:pStyle w:val="Heading4"/>
        <w:jc w:val="both"/>
        <w:rPr>
          <w:lang w:val="en-US"/>
        </w:rPr>
      </w:pPr>
      <w:r w:rsidRPr="00721225">
        <w:rPr>
          <w:rStyle w:val="Strong"/>
          <w:b w:val="0"/>
          <w:bCs w:val="0"/>
          <w:lang w:val="en-US"/>
        </w:rPr>
        <w:t>Key Findings: Improved Survival and Hemodynamic Stability</w:t>
      </w:r>
    </w:p>
    <w:p w14:paraId="14F17CE8" w14:textId="77777777" w:rsidR="00721225" w:rsidRPr="00721225" w:rsidRDefault="00721225" w:rsidP="00721225">
      <w:pPr>
        <w:pStyle w:val="NormalWeb"/>
        <w:jc w:val="both"/>
        <w:rPr>
          <w:rFonts w:asciiTheme="minorHAnsi" w:hAnsiTheme="minorHAnsi"/>
          <w:lang w:val="en-US"/>
        </w:rPr>
      </w:pPr>
      <w:r w:rsidRPr="00721225">
        <w:rPr>
          <w:rFonts w:asciiTheme="minorHAnsi" w:hAnsiTheme="minorHAnsi"/>
          <w:lang w:val="en-US"/>
        </w:rPr>
        <w:t xml:space="preserve">The analysis, which investigated randomized controlled trials and observational studies on </w:t>
      </w:r>
      <w:proofErr w:type="spellStart"/>
      <w:r w:rsidRPr="00721225">
        <w:rPr>
          <w:rFonts w:asciiTheme="minorHAnsi" w:hAnsiTheme="minorHAnsi"/>
          <w:lang w:val="en-US"/>
        </w:rPr>
        <w:t>CytoSorb</w:t>
      </w:r>
      <w:proofErr w:type="spellEnd"/>
      <w:r w:rsidRPr="00721225">
        <w:rPr>
          <w:rFonts w:asciiTheme="minorHAnsi" w:hAnsiTheme="minorHAnsi"/>
          <w:lang w:val="en-US"/>
        </w:rPr>
        <w:t xml:space="preserve"> use in septic shock populations from 2019–2024, demonstrates that </w:t>
      </w:r>
      <w:proofErr w:type="spellStart"/>
      <w:r w:rsidRPr="00721225">
        <w:rPr>
          <w:rFonts w:asciiTheme="minorHAnsi" w:hAnsiTheme="minorHAnsi"/>
          <w:lang w:val="en-US"/>
        </w:rPr>
        <w:t>CytoSorb</w:t>
      </w:r>
      <w:proofErr w:type="spellEnd"/>
      <w:r w:rsidRPr="00721225">
        <w:rPr>
          <w:rFonts w:asciiTheme="minorHAnsi" w:hAnsiTheme="minorHAnsi"/>
          <w:lang w:val="en-US"/>
        </w:rPr>
        <w:t xml:space="preserve"> therapy is associated with:</w:t>
      </w:r>
    </w:p>
    <w:p w14:paraId="0F519538" w14:textId="77777777" w:rsidR="00721225" w:rsidRPr="00721225" w:rsidRDefault="00721225" w:rsidP="00721225">
      <w:pPr>
        <w:pStyle w:val="NormalWeb"/>
        <w:numPr>
          <w:ilvl w:val="0"/>
          <w:numId w:val="1"/>
        </w:numPr>
        <w:jc w:val="both"/>
        <w:rPr>
          <w:rFonts w:asciiTheme="minorHAnsi" w:hAnsiTheme="minorHAnsi"/>
          <w:lang w:val="en-US"/>
        </w:rPr>
      </w:pPr>
      <w:r w:rsidRPr="00721225">
        <w:rPr>
          <w:rStyle w:val="Strong"/>
          <w:rFonts w:asciiTheme="minorHAnsi" w:eastAsiaTheme="majorEastAsia" w:hAnsiTheme="minorHAnsi"/>
          <w:lang w:val="en-US"/>
        </w:rPr>
        <w:t>Significant reductions in hospital and 28–30-day mortality</w:t>
      </w:r>
      <w:r w:rsidRPr="00721225">
        <w:rPr>
          <w:rFonts w:asciiTheme="minorHAnsi" w:hAnsiTheme="minorHAnsi"/>
          <w:lang w:val="en-US"/>
        </w:rPr>
        <w:t>, compared to standard care.</w:t>
      </w:r>
    </w:p>
    <w:p w14:paraId="47D63D04" w14:textId="77777777" w:rsidR="00721225" w:rsidRPr="00721225" w:rsidRDefault="00721225" w:rsidP="00721225">
      <w:pPr>
        <w:pStyle w:val="NormalWeb"/>
        <w:numPr>
          <w:ilvl w:val="0"/>
          <w:numId w:val="1"/>
        </w:numPr>
        <w:jc w:val="both"/>
        <w:rPr>
          <w:rFonts w:asciiTheme="minorHAnsi" w:hAnsiTheme="minorHAnsi"/>
          <w:lang w:val="en-US"/>
        </w:rPr>
      </w:pPr>
      <w:r w:rsidRPr="00721225">
        <w:rPr>
          <w:rStyle w:val="Strong"/>
          <w:rFonts w:asciiTheme="minorHAnsi" w:eastAsiaTheme="majorEastAsia" w:hAnsiTheme="minorHAnsi"/>
          <w:lang w:val="en-US"/>
        </w:rPr>
        <w:t>Improved hemodynamic parameters</w:t>
      </w:r>
      <w:r w:rsidRPr="00721225">
        <w:rPr>
          <w:rFonts w:asciiTheme="minorHAnsi" w:hAnsiTheme="minorHAnsi"/>
          <w:lang w:val="en-US"/>
        </w:rPr>
        <w:t>, most notably reduced vasopressor requirements, signaling better circulatory stabilization.</w:t>
      </w:r>
    </w:p>
    <w:p w14:paraId="00EF9AB9" w14:textId="77777777" w:rsidR="00721225" w:rsidRPr="00721225" w:rsidRDefault="00721225" w:rsidP="00721225">
      <w:pPr>
        <w:pStyle w:val="NormalWeb"/>
        <w:jc w:val="both"/>
        <w:rPr>
          <w:rFonts w:asciiTheme="minorHAnsi" w:hAnsiTheme="minorHAnsi"/>
          <w:lang w:val="en-US"/>
        </w:rPr>
      </w:pPr>
      <w:r w:rsidRPr="00721225">
        <w:rPr>
          <w:rFonts w:asciiTheme="minorHAnsi" w:hAnsiTheme="minorHAnsi"/>
          <w:lang w:val="en-US"/>
        </w:rPr>
        <w:t xml:space="preserve">Importantly, </w:t>
      </w:r>
      <w:r w:rsidRPr="00721225">
        <w:rPr>
          <w:rStyle w:val="Strong"/>
          <w:rFonts w:asciiTheme="minorHAnsi" w:eastAsiaTheme="majorEastAsia" w:hAnsiTheme="minorHAnsi"/>
          <w:lang w:val="en-US"/>
        </w:rPr>
        <w:t>every of the included studies that reported a survival benefit also showed hemodynamic improvements</w:t>
      </w:r>
      <w:r w:rsidRPr="00721225">
        <w:rPr>
          <w:rFonts w:asciiTheme="minorHAnsi" w:hAnsiTheme="minorHAnsi"/>
          <w:lang w:val="en-US"/>
        </w:rPr>
        <w:t xml:space="preserve">, further reinforcing the link between cytokine modulation as </w:t>
      </w:r>
      <w:proofErr w:type="spellStart"/>
      <w:r w:rsidRPr="00721225">
        <w:rPr>
          <w:rFonts w:asciiTheme="minorHAnsi" w:hAnsiTheme="minorHAnsi"/>
          <w:lang w:val="en-US"/>
        </w:rPr>
        <w:t>CytoSorb`s</w:t>
      </w:r>
      <w:proofErr w:type="spellEnd"/>
      <w:r w:rsidRPr="00721225">
        <w:rPr>
          <w:rFonts w:asciiTheme="minorHAnsi" w:hAnsiTheme="minorHAnsi"/>
          <w:lang w:val="en-US"/>
        </w:rPr>
        <w:t xml:space="preserve"> mode of action and clinical outcomes.</w:t>
      </w:r>
    </w:p>
    <w:p w14:paraId="030F5DA3" w14:textId="77777777" w:rsidR="00721225" w:rsidRPr="00721225" w:rsidRDefault="00721225" w:rsidP="00721225">
      <w:pPr>
        <w:pStyle w:val="Heading4"/>
        <w:jc w:val="both"/>
        <w:rPr>
          <w:lang w:val="en-US"/>
        </w:rPr>
      </w:pPr>
      <w:r w:rsidRPr="00721225">
        <w:rPr>
          <w:rStyle w:val="Strong"/>
          <w:b w:val="0"/>
          <w:bCs w:val="0"/>
          <w:lang w:val="en-US"/>
        </w:rPr>
        <w:t>Implications for Clinical Practice</w:t>
      </w:r>
    </w:p>
    <w:p w14:paraId="7F87F30E" w14:textId="77777777" w:rsidR="00721225" w:rsidRPr="00721225" w:rsidRDefault="00721225" w:rsidP="00721225">
      <w:pPr>
        <w:pStyle w:val="NormalWeb"/>
        <w:jc w:val="both"/>
        <w:rPr>
          <w:rFonts w:asciiTheme="minorHAnsi" w:hAnsiTheme="minorHAnsi"/>
          <w:lang w:val="en-US"/>
        </w:rPr>
      </w:pPr>
      <w:r w:rsidRPr="00721225">
        <w:rPr>
          <w:rFonts w:asciiTheme="minorHAnsi" w:hAnsiTheme="minorHAnsi"/>
          <w:lang w:val="en-US"/>
        </w:rPr>
        <w:t xml:space="preserve">These findings not only reinforce CytoSorbents' guidance for </w:t>
      </w:r>
      <w:r w:rsidRPr="00721225">
        <w:rPr>
          <w:rStyle w:val="Strong"/>
          <w:rFonts w:asciiTheme="minorHAnsi" w:eastAsiaTheme="majorEastAsia" w:hAnsiTheme="minorHAnsi"/>
          <w:lang w:val="en-US"/>
        </w:rPr>
        <w:t>targeted patient selection</w:t>
      </w:r>
      <w:r w:rsidRPr="00721225">
        <w:rPr>
          <w:rFonts w:asciiTheme="minorHAnsi" w:hAnsiTheme="minorHAnsi"/>
          <w:lang w:val="en-US"/>
        </w:rPr>
        <w:t xml:space="preserve"> in critical care settings but also underline a broader principle: </w:t>
      </w:r>
      <w:r w:rsidRPr="00721225">
        <w:rPr>
          <w:rStyle w:val="Strong"/>
          <w:rFonts w:asciiTheme="minorHAnsi" w:eastAsiaTheme="majorEastAsia" w:hAnsiTheme="minorHAnsi"/>
          <w:lang w:val="en-US"/>
        </w:rPr>
        <w:t>Personalized application matters.</w:t>
      </w:r>
      <w:r w:rsidRPr="00721225">
        <w:rPr>
          <w:rFonts w:asciiTheme="minorHAnsi" w:hAnsiTheme="minorHAnsi"/>
          <w:lang w:val="en-US"/>
        </w:rPr>
        <w:t xml:space="preserve"> As the field of sepsis therapy continues to evolve, </w:t>
      </w:r>
      <w:r w:rsidRPr="00721225">
        <w:rPr>
          <w:rStyle w:val="Strong"/>
          <w:rFonts w:asciiTheme="minorHAnsi" w:eastAsiaTheme="majorEastAsia" w:hAnsiTheme="minorHAnsi"/>
          <w:lang w:val="en-US"/>
        </w:rPr>
        <w:t>standardized approaches to identifying high-inflammatory burden patients</w:t>
      </w:r>
      <w:r w:rsidRPr="00721225">
        <w:rPr>
          <w:rFonts w:asciiTheme="minorHAnsi" w:hAnsiTheme="minorHAnsi"/>
          <w:lang w:val="en-US"/>
        </w:rPr>
        <w:t xml:space="preserve"> could enhance both the consistency and effectiveness of </w:t>
      </w:r>
      <w:proofErr w:type="spellStart"/>
      <w:r w:rsidRPr="00721225">
        <w:rPr>
          <w:rFonts w:asciiTheme="minorHAnsi" w:hAnsiTheme="minorHAnsi"/>
          <w:lang w:val="en-US"/>
        </w:rPr>
        <w:t>hemoadsorption</w:t>
      </w:r>
      <w:proofErr w:type="spellEnd"/>
      <w:r w:rsidRPr="00721225">
        <w:rPr>
          <w:rFonts w:asciiTheme="minorHAnsi" w:hAnsiTheme="minorHAnsi"/>
          <w:lang w:val="en-US"/>
        </w:rPr>
        <w:t xml:space="preserve"> strategies.</w:t>
      </w:r>
    </w:p>
    <w:p w14:paraId="1D84584F" w14:textId="77777777" w:rsidR="00721225" w:rsidRDefault="00721225" w:rsidP="00721225">
      <w:pPr>
        <w:pStyle w:val="Heading4"/>
        <w:jc w:val="both"/>
        <w:rPr>
          <w:rStyle w:val="Strong"/>
          <w:b w:val="0"/>
          <w:bCs w:val="0"/>
          <w:lang w:val="en-US"/>
        </w:rPr>
      </w:pPr>
      <w:r w:rsidRPr="00721225">
        <w:rPr>
          <w:rStyle w:val="Strong"/>
          <w:b w:val="0"/>
          <w:bCs w:val="0"/>
          <w:lang w:val="en-US"/>
        </w:rPr>
        <w:lastRenderedPageBreak/>
        <w:t>Looking Ahead</w:t>
      </w:r>
    </w:p>
    <w:p w14:paraId="3166AC97" w14:textId="77777777" w:rsidR="00721225" w:rsidRPr="00721225" w:rsidRDefault="00721225" w:rsidP="00721225">
      <w:pPr>
        <w:rPr>
          <w:lang w:val="en-US"/>
        </w:rPr>
      </w:pPr>
    </w:p>
    <w:p w14:paraId="08DD038A" w14:textId="793C8F5C" w:rsidR="00721225" w:rsidRPr="00721225" w:rsidRDefault="00721225" w:rsidP="00721225">
      <w:pPr>
        <w:jc w:val="both"/>
        <w:rPr>
          <w:rFonts w:cs="Calibri"/>
          <w:lang w:val="en-US"/>
        </w:rPr>
      </w:pPr>
      <w:r w:rsidRPr="00721225">
        <w:rPr>
          <w:lang w:val="en-US"/>
        </w:rPr>
        <w:t xml:space="preserve">This meta-analysis contributes important clarity to a previously mixed body of evidence and emphasizes the need for </w:t>
      </w:r>
      <w:r w:rsidRPr="00721225">
        <w:rPr>
          <w:rStyle w:val="Strong"/>
          <w:rFonts w:eastAsiaTheme="majorEastAsia"/>
          <w:lang w:val="en-US"/>
        </w:rPr>
        <w:t>targeted individualized treatment and research approaches</w:t>
      </w:r>
      <w:r w:rsidRPr="00721225">
        <w:rPr>
          <w:lang w:val="en-US"/>
        </w:rPr>
        <w:t xml:space="preserve"> in sepsis. By focusing on appropriately selected patient populations, clinicians can unlock the full therapeutic potential of interventions like </w:t>
      </w:r>
      <w:proofErr w:type="spellStart"/>
      <w:r w:rsidRPr="00721225">
        <w:rPr>
          <w:lang w:val="en-US"/>
        </w:rPr>
        <w:t>CytoSorb</w:t>
      </w:r>
      <w:proofErr w:type="spellEnd"/>
      <w:r w:rsidRPr="00721225">
        <w:rPr>
          <w:lang w:val="en-US"/>
        </w:rPr>
        <w:t>—and ultimately improve outcomes in one of the most challenging areas of critical care.</w:t>
      </w:r>
    </w:p>
    <w:p w14:paraId="21F9C49E" w14:textId="77777777" w:rsidR="000D5DE8" w:rsidRPr="00721225" w:rsidRDefault="000D5DE8" w:rsidP="00721225">
      <w:pPr>
        <w:jc w:val="both"/>
        <w:rPr>
          <w:rFonts w:cs="Calibri"/>
          <w:lang w:val="en-US"/>
        </w:rPr>
      </w:pPr>
    </w:p>
    <w:sectPr w:rsidR="000D5DE8" w:rsidRPr="00721225" w:rsidSect="008A3B85">
      <w:pgSz w:w="11901" w:h="16840"/>
      <w:pgMar w:top="1701" w:right="1134" w:bottom="1701" w:left="1418" w:header="72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4773F"/>
    <w:multiLevelType w:val="multilevel"/>
    <w:tmpl w:val="0E1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7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4F"/>
    <w:rsid w:val="00001FDA"/>
    <w:rsid w:val="00002381"/>
    <w:rsid w:val="00002488"/>
    <w:rsid w:val="00004A95"/>
    <w:rsid w:val="00007BC6"/>
    <w:rsid w:val="00016195"/>
    <w:rsid w:val="00027EB9"/>
    <w:rsid w:val="00033B03"/>
    <w:rsid w:val="000376B1"/>
    <w:rsid w:val="00037DE3"/>
    <w:rsid w:val="00041918"/>
    <w:rsid w:val="00042156"/>
    <w:rsid w:val="000435A9"/>
    <w:rsid w:val="00050DFB"/>
    <w:rsid w:val="00052260"/>
    <w:rsid w:val="00054782"/>
    <w:rsid w:val="0005589D"/>
    <w:rsid w:val="0005760B"/>
    <w:rsid w:val="00060AB0"/>
    <w:rsid w:val="000700BD"/>
    <w:rsid w:val="00074296"/>
    <w:rsid w:val="0007562C"/>
    <w:rsid w:val="00076B4F"/>
    <w:rsid w:val="00081E62"/>
    <w:rsid w:val="00092A4A"/>
    <w:rsid w:val="000A14DD"/>
    <w:rsid w:val="000B0CC1"/>
    <w:rsid w:val="000B211F"/>
    <w:rsid w:val="000B4256"/>
    <w:rsid w:val="000B5914"/>
    <w:rsid w:val="000B64E6"/>
    <w:rsid w:val="000C7C38"/>
    <w:rsid w:val="000C7E91"/>
    <w:rsid w:val="000D5DC9"/>
    <w:rsid w:val="000D5DE8"/>
    <w:rsid w:val="000E503B"/>
    <w:rsid w:val="000F2756"/>
    <w:rsid w:val="000F2DC0"/>
    <w:rsid w:val="000F3A3B"/>
    <w:rsid w:val="000F546C"/>
    <w:rsid w:val="000F54CD"/>
    <w:rsid w:val="000F77B0"/>
    <w:rsid w:val="00100663"/>
    <w:rsid w:val="0010643B"/>
    <w:rsid w:val="00107E89"/>
    <w:rsid w:val="00111CB6"/>
    <w:rsid w:val="00114F50"/>
    <w:rsid w:val="00121339"/>
    <w:rsid w:val="00122CB5"/>
    <w:rsid w:val="001258EA"/>
    <w:rsid w:val="00131167"/>
    <w:rsid w:val="00133A26"/>
    <w:rsid w:val="0013423E"/>
    <w:rsid w:val="00137981"/>
    <w:rsid w:val="00144A1D"/>
    <w:rsid w:val="00145B03"/>
    <w:rsid w:val="0014769A"/>
    <w:rsid w:val="00147A75"/>
    <w:rsid w:val="001521A0"/>
    <w:rsid w:val="0016229A"/>
    <w:rsid w:val="001622A6"/>
    <w:rsid w:val="0016293D"/>
    <w:rsid w:val="0016392E"/>
    <w:rsid w:val="00164F38"/>
    <w:rsid w:val="00167E15"/>
    <w:rsid w:val="0017329D"/>
    <w:rsid w:val="00174497"/>
    <w:rsid w:val="00174640"/>
    <w:rsid w:val="001828A1"/>
    <w:rsid w:val="0018662D"/>
    <w:rsid w:val="00196309"/>
    <w:rsid w:val="00196480"/>
    <w:rsid w:val="001B757B"/>
    <w:rsid w:val="001B7673"/>
    <w:rsid w:val="001E4B0D"/>
    <w:rsid w:val="001E7A5C"/>
    <w:rsid w:val="001F45C8"/>
    <w:rsid w:val="00211BD6"/>
    <w:rsid w:val="00217A2F"/>
    <w:rsid w:val="00221078"/>
    <w:rsid w:val="0022471D"/>
    <w:rsid w:val="00236242"/>
    <w:rsid w:val="002370B8"/>
    <w:rsid w:val="002504E5"/>
    <w:rsid w:val="002563BF"/>
    <w:rsid w:val="002628C0"/>
    <w:rsid w:val="0026529F"/>
    <w:rsid w:val="0028074C"/>
    <w:rsid w:val="00285BBD"/>
    <w:rsid w:val="00296D1B"/>
    <w:rsid w:val="002A0A6C"/>
    <w:rsid w:val="002A48A0"/>
    <w:rsid w:val="002B0425"/>
    <w:rsid w:val="002B2126"/>
    <w:rsid w:val="002B6533"/>
    <w:rsid w:val="002B7B60"/>
    <w:rsid w:val="002C4A42"/>
    <w:rsid w:val="002D184A"/>
    <w:rsid w:val="002D3D27"/>
    <w:rsid w:val="002E056B"/>
    <w:rsid w:val="002E6866"/>
    <w:rsid w:val="002E7ED1"/>
    <w:rsid w:val="002F06EA"/>
    <w:rsid w:val="002F5E1C"/>
    <w:rsid w:val="003041BB"/>
    <w:rsid w:val="00313BF0"/>
    <w:rsid w:val="00321B87"/>
    <w:rsid w:val="00325936"/>
    <w:rsid w:val="0033336B"/>
    <w:rsid w:val="00337B74"/>
    <w:rsid w:val="003406C3"/>
    <w:rsid w:val="0034753A"/>
    <w:rsid w:val="00347A8A"/>
    <w:rsid w:val="00357B34"/>
    <w:rsid w:val="00362AF9"/>
    <w:rsid w:val="0036425D"/>
    <w:rsid w:val="00364810"/>
    <w:rsid w:val="003648A7"/>
    <w:rsid w:val="00367518"/>
    <w:rsid w:val="00370FB1"/>
    <w:rsid w:val="00371326"/>
    <w:rsid w:val="003715F1"/>
    <w:rsid w:val="00385A32"/>
    <w:rsid w:val="00393A42"/>
    <w:rsid w:val="003A24DB"/>
    <w:rsid w:val="003A6E83"/>
    <w:rsid w:val="003B4905"/>
    <w:rsid w:val="003B4C3B"/>
    <w:rsid w:val="003B6D1D"/>
    <w:rsid w:val="003D0F1B"/>
    <w:rsid w:val="003E10F7"/>
    <w:rsid w:val="003E2BD9"/>
    <w:rsid w:val="003E2CA3"/>
    <w:rsid w:val="003E6630"/>
    <w:rsid w:val="003F17C8"/>
    <w:rsid w:val="00410B36"/>
    <w:rsid w:val="00410BCC"/>
    <w:rsid w:val="00411951"/>
    <w:rsid w:val="00412BDC"/>
    <w:rsid w:val="00432AC4"/>
    <w:rsid w:val="00432DA4"/>
    <w:rsid w:val="0043357F"/>
    <w:rsid w:val="00435A54"/>
    <w:rsid w:val="004374B2"/>
    <w:rsid w:val="00440B12"/>
    <w:rsid w:val="004463FC"/>
    <w:rsid w:val="00446581"/>
    <w:rsid w:val="00446AC5"/>
    <w:rsid w:val="004617D1"/>
    <w:rsid w:val="0046558C"/>
    <w:rsid w:val="00467950"/>
    <w:rsid w:val="0047301E"/>
    <w:rsid w:val="00485158"/>
    <w:rsid w:val="004866FD"/>
    <w:rsid w:val="00486FA8"/>
    <w:rsid w:val="00491C62"/>
    <w:rsid w:val="004929A0"/>
    <w:rsid w:val="00496244"/>
    <w:rsid w:val="004B69D5"/>
    <w:rsid w:val="004C09A8"/>
    <w:rsid w:val="004C5F20"/>
    <w:rsid w:val="004D12EE"/>
    <w:rsid w:val="004D5337"/>
    <w:rsid w:val="004E1BE0"/>
    <w:rsid w:val="004E31E6"/>
    <w:rsid w:val="004E3FA9"/>
    <w:rsid w:val="004F042E"/>
    <w:rsid w:val="0050721B"/>
    <w:rsid w:val="00514749"/>
    <w:rsid w:val="0053733B"/>
    <w:rsid w:val="0054012D"/>
    <w:rsid w:val="005436A7"/>
    <w:rsid w:val="005437A5"/>
    <w:rsid w:val="005440B5"/>
    <w:rsid w:val="0054666A"/>
    <w:rsid w:val="0055112A"/>
    <w:rsid w:val="00551363"/>
    <w:rsid w:val="00561912"/>
    <w:rsid w:val="00563F7E"/>
    <w:rsid w:val="0056673E"/>
    <w:rsid w:val="00572F80"/>
    <w:rsid w:val="00580A93"/>
    <w:rsid w:val="0058342C"/>
    <w:rsid w:val="00583BE0"/>
    <w:rsid w:val="00585D2B"/>
    <w:rsid w:val="00586444"/>
    <w:rsid w:val="00590891"/>
    <w:rsid w:val="00590C88"/>
    <w:rsid w:val="00590DD3"/>
    <w:rsid w:val="00594B4F"/>
    <w:rsid w:val="005A2227"/>
    <w:rsid w:val="005A6763"/>
    <w:rsid w:val="005B286B"/>
    <w:rsid w:val="005B5C1C"/>
    <w:rsid w:val="005B7EA9"/>
    <w:rsid w:val="005C65B0"/>
    <w:rsid w:val="005D7337"/>
    <w:rsid w:val="005D76D9"/>
    <w:rsid w:val="005D7D73"/>
    <w:rsid w:val="005E1FD5"/>
    <w:rsid w:val="005E24E4"/>
    <w:rsid w:val="005E5CE0"/>
    <w:rsid w:val="00600137"/>
    <w:rsid w:val="006019F4"/>
    <w:rsid w:val="006035C5"/>
    <w:rsid w:val="00614DBD"/>
    <w:rsid w:val="006156E2"/>
    <w:rsid w:val="00617083"/>
    <w:rsid w:val="00624D35"/>
    <w:rsid w:val="00632910"/>
    <w:rsid w:val="00632E79"/>
    <w:rsid w:val="00640B43"/>
    <w:rsid w:val="0065570E"/>
    <w:rsid w:val="006709F4"/>
    <w:rsid w:val="00675CE5"/>
    <w:rsid w:val="00677D68"/>
    <w:rsid w:val="0068125E"/>
    <w:rsid w:val="00682B0D"/>
    <w:rsid w:val="00695F1A"/>
    <w:rsid w:val="00695FEB"/>
    <w:rsid w:val="00697569"/>
    <w:rsid w:val="006A401E"/>
    <w:rsid w:val="006A7FEF"/>
    <w:rsid w:val="006C0A0D"/>
    <w:rsid w:val="006C24EB"/>
    <w:rsid w:val="006C390A"/>
    <w:rsid w:val="006C619F"/>
    <w:rsid w:val="006D038E"/>
    <w:rsid w:val="006E3338"/>
    <w:rsid w:val="006F3ED0"/>
    <w:rsid w:val="006F5F62"/>
    <w:rsid w:val="007041B0"/>
    <w:rsid w:val="007041CB"/>
    <w:rsid w:val="00706CE6"/>
    <w:rsid w:val="00717A39"/>
    <w:rsid w:val="007206F0"/>
    <w:rsid w:val="00721225"/>
    <w:rsid w:val="0072198B"/>
    <w:rsid w:val="00726511"/>
    <w:rsid w:val="00740C15"/>
    <w:rsid w:val="00741C6C"/>
    <w:rsid w:val="00742EE4"/>
    <w:rsid w:val="00746066"/>
    <w:rsid w:val="00746A53"/>
    <w:rsid w:val="007513FB"/>
    <w:rsid w:val="00752396"/>
    <w:rsid w:val="007536D1"/>
    <w:rsid w:val="00753BAA"/>
    <w:rsid w:val="00755F87"/>
    <w:rsid w:val="0075600F"/>
    <w:rsid w:val="00757245"/>
    <w:rsid w:val="00757259"/>
    <w:rsid w:val="00781D23"/>
    <w:rsid w:val="00784342"/>
    <w:rsid w:val="00790E65"/>
    <w:rsid w:val="00791EBC"/>
    <w:rsid w:val="00792FB2"/>
    <w:rsid w:val="0079337F"/>
    <w:rsid w:val="00794622"/>
    <w:rsid w:val="007A086C"/>
    <w:rsid w:val="007A666A"/>
    <w:rsid w:val="007A749C"/>
    <w:rsid w:val="007B0A7B"/>
    <w:rsid w:val="007B2A06"/>
    <w:rsid w:val="007B47F6"/>
    <w:rsid w:val="007B60CA"/>
    <w:rsid w:val="007B6B1C"/>
    <w:rsid w:val="007B7A42"/>
    <w:rsid w:val="007C0DF1"/>
    <w:rsid w:val="007D01AA"/>
    <w:rsid w:val="007D361E"/>
    <w:rsid w:val="007D7483"/>
    <w:rsid w:val="007E1CA6"/>
    <w:rsid w:val="007E1D1C"/>
    <w:rsid w:val="007E71E6"/>
    <w:rsid w:val="007F0A57"/>
    <w:rsid w:val="00800D65"/>
    <w:rsid w:val="00800FAF"/>
    <w:rsid w:val="008037B8"/>
    <w:rsid w:val="008144C6"/>
    <w:rsid w:val="00831529"/>
    <w:rsid w:val="00831D2E"/>
    <w:rsid w:val="00833C8B"/>
    <w:rsid w:val="00834097"/>
    <w:rsid w:val="00840840"/>
    <w:rsid w:val="00847D4A"/>
    <w:rsid w:val="00850BD8"/>
    <w:rsid w:val="0085110F"/>
    <w:rsid w:val="00851722"/>
    <w:rsid w:val="00852B61"/>
    <w:rsid w:val="00853155"/>
    <w:rsid w:val="00854FB2"/>
    <w:rsid w:val="008566F7"/>
    <w:rsid w:val="008671FA"/>
    <w:rsid w:val="008709A5"/>
    <w:rsid w:val="00875212"/>
    <w:rsid w:val="00880A95"/>
    <w:rsid w:val="00882DD3"/>
    <w:rsid w:val="008862EC"/>
    <w:rsid w:val="00895AED"/>
    <w:rsid w:val="008A1971"/>
    <w:rsid w:val="008A2D1B"/>
    <w:rsid w:val="008A3A22"/>
    <w:rsid w:val="008A3B85"/>
    <w:rsid w:val="008A6642"/>
    <w:rsid w:val="008B63C0"/>
    <w:rsid w:val="008C7801"/>
    <w:rsid w:val="008C7957"/>
    <w:rsid w:val="008D5B48"/>
    <w:rsid w:val="008D6524"/>
    <w:rsid w:val="008E5E81"/>
    <w:rsid w:val="008E77F4"/>
    <w:rsid w:val="008F334C"/>
    <w:rsid w:val="008F7DDC"/>
    <w:rsid w:val="009045F8"/>
    <w:rsid w:val="00907B22"/>
    <w:rsid w:val="00914844"/>
    <w:rsid w:val="00920100"/>
    <w:rsid w:val="00927828"/>
    <w:rsid w:val="009316EC"/>
    <w:rsid w:val="009374A8"/>
    <w:rsid w:val="0094576A"/>
    <w:rsid w:val="0094754C"/>
    <w:rsid w:val="00960753"/>
    <w:rsid w:val="00971998"/>
    <w:rsid w:val="00972454"/>
    <w:rsid w:val="00977028"/>
    <w:rsid w:val="009819B0"/>
    <w:rsid w:val="00992920"/>
    <w:rsid w:val="00993C8A"/>
    <w:rsid w:val="00997765"/>
    <w:rsid w:val="009A7900"/>
    <w:rsid w:val="009B2325"/>
    <w:rsid w:val="009B518C"/>
    <w:rsid w:val="009C7FB2"/>
    <w:rsid w:val="009E6ACE"/>
    <w:rsid w:val="009F0AFA"/>
    <w:rsid w:val="009F7362"/>
    <w:rsid w:val="00A020F2"/>
    <w:rsid w:val="00A03415"/>
    <w:rsid w:val="00A05F5B"/>
    <w:rsid w:val="00A06029"/>
    <w:rsid w:val="00A170D1"/>
    <w:rsid w:val="00A26DCD"/>
    <w:rsid w:val="00A33E36"/>
    <w:rsid w:val="00A41F03"/>
    <w:rsid w:val="00A41F30"/>
    <w:rsid w:val="00A431C1"/>
    <w:rsid w:val="00A474C8"/>
    <w:rsid w:val="00A54168"/>
    <w:rsid w:val="00A54FF2"/>
    <w:rsid w:val="00A5715D"/>
    <w:rsid w:val="00A67EEB"/>
    <w:rsid w:val="00A73AB6"/>
    <w:rsid w:val="00A81B0A"/>
    <w:rsid w:val="00A92051"/>
    <w:rsid w:val="00A92FDF"/>
    <w:rsid w:val="00A938E7"/>
    <w:rsid w:val="00A96681"/>
    <w:rsid w:val="00A975ED"/>
    <w:rsid w:val="00AA10ED"/>
    <w:rsid w:val="00AA59AF"/>
    <w:rsid w:val="00AA697B"/>
    <w:rsid w:val="00AC095C"/>
    <w:rsid w:val="00AC3B59"/>
    <w:rsid w:val="00AC60F1"/>
    <w:rsid w:val="00AD7312"/>
    <w:rsid w:val="00AE2EA7"/>
    <w:rsid w:val="00AE44B0"/>
    <w:rsid w:val="00AE4C87"/>
    <w:rsid w:val="00AF2F4A"/>
    <w:rsid w:val="00B01F2C"/>
    <w:rsid w:val="00B05106"/>
    <w:rsid w:val="00B05546"/>
    <w:rsid w:val="00B12668"/>
    <w:rsid w:val="00B1776C"/>
    <w:rsid w:val="00B21961"/>
    <w:rsid w:val="00B248DE"/>
    <w:rsid w:val="00B25C07"/>
    <w:rsid w:val="00B32056"/>
    <w:rsid w:val="00B33A02"/>
    <w:rsid w:val="00B33F06"/>
    <w:rsid w:val="00B347EE"/>
    <w:rsid w:val="00B3654B"/>
    <w:rsid w:val="00B420AF"/>
    <w:rsid w:val="00B44D13"/>
    <w:rsid w:val="00B45C51"/>
    <w:rsid w:val="00B46B3A"/>
    <w:rsid w:val="00B538B4"/>
    <w:rsid w:val="00B638FA"/>
    <w:rsid w:val="00B65AFA"/>
    <w:rsid w:val="00B669BA"/>
    <w:rsid w:val="00B76584"/>
    <w:rsid w:val="00B81DCD"/>
    <w:rsid w:val="00B82987"/>
    <w:rsid w:val="00B83309"/>
    <w:rsid w:val="00B91902"/>
    <w:rsid w:val="00B91B5C"/>
    <w:rsid w:val="00B940C1"/>
    <w:rsid w:val="00B97EB6"/>
    <w:rsid w:val="00BA2A03"/>
    <w:rsid w:val="00BA7029"/>
    <w:rsid w:val="00BB6281"/>
    <w:rsid w:val="00BC5FC6"/>
    <w:rsid w:val="00BD5215"/>
    <w:rsid w:val="00BD6B33"/>
    <w:rsid w:val="00BE1DA6"/>
    <w:rsid w:val="00BE6131"/>
    <w:rsid w:val="00BE6611"/>
    <w:rsid w:val="00BF04B4"/>
    <w:rsid w:val="00BF4423"/>
    <w:rsid w:val="00BF4913"/>
    <w:rsid w:val="00BF4BDB"/>
    <w:rsid w:val="00C02096"/>
    <w:rsid w:val="00C03DB9"/>
    <w:rsid w:val="00C04174"/>
    <w:rsid w:val="00C04F75"/>
    <w:rsid w:val="00C16167"/>
    <w:rsid w:val="00C23845"/>
    <w:rsid w:val="00C24909"/>
    <w:rsid w:val="00C2490D"/>
    <w:rsid w:val="00C31845"/>
    <w:rsid w:val="00C34BCF"/>
    <w:rsid w:val="00C408E3"/>
    <w:rsid w:val="00C40940"/>
    <w:rsid w:val="00C44A1C"/>
    <w:rsid w:val="00C50410"/>
    <w:rsid w:val="00C51AF7"/>
    <w:rsid w:val="00C60664"/>
    <w:rsid w:val="00C62E5B"/>
    <w:rsid w:val="00C63DE1"/>
    <w:rsid w:val="00C809AB"/>
    <w:rsid w:val="00C826B9"/>
    <w:rsid w:val="00C83382"/>
    <w:rsid w:val="00C87A4E"/>
    <w:rsid w:val="00C9138C"/>
    <w:rsid w:val="00C916A0"/>
    <w:rsid w:val="00C91B35"/>
    <w:rsid w:val="00C923DD"/>
    <w:rsid w:val="00C924DD"/>
    <w:rsid w:val="00C9286C"/>
    <w:rsid w:val="00CA018F"/>
    <w:rsid w:val="00CA1B26"/>
    <w:rsid w:val="00CB088E"/>
    <w:rsid w:val="00CB2369"/>
    <w:rsid w:val="00CB24E8"/>
    <w:rsid w:val="00CC0C3A"/>
    <w:rsid w:val="00CC3C4C"/>
    <w:rsid w:val="00CC463C"/>
    <w:rsid w:val="00CD6A56"/>
    <w:rsid w:val="00CE5E73"/>
    <w:rsid w:val="00CF4207"/>
    <w:rsid w:val="00D05F51"/>
    <w:rsid w:val="00D06C46"/>
    <w:rsid w:val="00D20916"/>
    <w:rsid w:val="00D232AC"/>
    <w:rsid w:val="00D338F2"/>
    <w:rsid w:val="00D40B34"/>
    <w:rsid w:val="00D43CFD"/>
    <w:rsid w:val="00D552AE"/>
    <w:rsid w:val="00D57D05"/>
    <w:rsid w:val="00D60D6F"/>
    <w:rsid w:val="00D638C6"/>
    <w:rsid w:val="00D65797"/>
    <w:rsid w:val="00D66BD7"/>
    <w:rsid w:val="00D677F4"/>
    <w:rsid w:val="00D70B80"/>
    <w:rsid w:val="00D84035"/>
    <w:rsid w:val="00D847A4"/>
    <w:rsid w:val="00D85083"/>
    <w:rsid w:val="00D87C4C"/>
    <w:rsid w:val="00D906D2"/>
    <w:rsid w:val="00D94848"/>
    <w:rsid w:val="00DB77E1"/>
    <w:rsid w:val="00DC2E13"/>
    <w:rsid w:val="00DC5B28"/>
    <w:rsid w:val="00DC6631"/>
    <w:rsid w:val="00DD2EDF"/>
    <w:rsid w:val="00DD79C2"/>
    <w:rsid w:val="00DE11E0"/>
    <w:rsid w:val="00DF27E0"/>
    <w:rsid w:val="00DF30BF"/>
    <w:rsid w:val="00E00579"/>
    <w:rsid w:val="00E0252A"/>
    <w:rsid w:val="00E0410F"/>
    <w:rsid w:val="00E1695E"/>
    <w:rsid w:val="00E22D9E"/>
    <w:rsid w:val="00E2403D"/>
    <w:rsid w:val="00E3518D"/>
    <w:rsid w:val="00E36228"/>
    <w:rsid w:val="00E408E0"/>
    <w:rsid w:val="00E4190A"/>
    <w:rsid w:val="00E43DDA"/>
    <w:rsid w:val="00E43E4F"/>
    <w:rsid w:val="00E54377"/>
    <w:rsid w:val="00E5495D"/>
    <w:rsid w:val="00E549B6"/>
    <w:rsid w:val="00E64558"/>
    <w:rsid w:val="00E64DE1"/>
    <w:rsid w:val="00E72F41"/>
    <w:rsid w:val="00E75076"/>
    <w:rsid w:val="00E76728"/>
    <w:rsid w:val="00E768A5"/>
    <w:rsid w:val="00E803CE"/>
    <w:rsid w:val="00E81117"/>
    <w:rsid w:val="00E82A2B"/>
    <w:rsid w:val="00E8466E"/>
    <w:rsid w:val="00E87933"/>
    <w:rsid w:val="00E94A73"/>
    <w:rsid w:val="00EA4DCF"/>
    <w:rsid w:val="00EA59DD"/>
    <w:rsid w:val="00EA759D"/>
    <w:rsid w:val="00EA7C07"/>
    <w:rsid w:val="00EB0E82"/>
    <w:rsid w:val="00EB49B0"/>
    <w:rsid w:val="00EB72C8"/>
    <w:rsid w:val="00EC7522"/>
    <w:rsid w:val="00ED5574"/>
    <w:rsid w:val="00EE4B95"/>
    <w:rsid w:val="00EE6D21"/>
    <w:rsid w:val="00EE6E70"/>
    <w:rsid w:val="00EF17A1"/>
    <w:rsid w:val="00EF2F94"/>
    <w:rsid w:val="00F02EAF"/>
    <w:rsid w:val="00F0573B"/>
    <w:rsid w:val="00F05887"/>
    <w:rsid w:val="00F05F4D"/>
    <w:rsid w:val="00F1769A"/>
    <w:rsid w:val="00F24BCE"/>
    <w:rsid w:val="00F32AA0"/>
    <w:rsid w:val="00F37C11"/>
    <w:rsid w:val="00F42117"/>
    <w:rsid w:val="00F44D8F"/>
    <w:rsid w:val="00F521D7"/>
    <w:rsid w:val="00F6096C"/>
    <w:rsid w:val="00F61932"/>
    <w:rsid w:val="00F85C25"/>
    <w:rsid w:val="00F912FD"/>
    <w:rsid w:val="00F91A7B"/>
    <w:rsid w:val="00F9233E"/>
    <w:rsid w:val="00F953DA"/>
    <w:rsid w:val="00F9599C"/>
    <w:rsid w:val="00F95AF3"/>
    <w:rsid w:val="00F971D1"/>
    <w:rsid w:val="00FA5787"/>
    <w:rsid w:val="00FC58BF"/>
    <w:rsid w:val="00FC6D78"/>
    <w:rsid w:val="00FC6EB8"/>
    <w:rsid w:val="00FC710A"/>
    <w:rsid w:val="00FD3077"/>
    <w:rsid w:val="00FE4884"/>
    <w:rsid w:val="00FE5CF9"/>
    <w:rsid w:val="00FF1A18"/>
    <w:rsid w:val="00FF46D5"/>
    <w:rsid w:val="00FF4AC0"/>
    <w:rsid w:val="00FF5453"/>
    <w:rsid w:val="00FF7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B74E"/>
  <w15:chartTrackingRefBased/>
  <w15:docId w15:val="{5146EBE2-E1FE-9A47-B5C1-E6627E95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4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B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B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B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B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4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B4F"/>
    <w:rPr>
      <w:rFonts w:eastAsiaTheme="majorEastAsia" w:cstheme="majorBidi"/>
      <w:color w:val="272727" w:themeColor="text1" w:themeTint="D8"/>
    </w:rPr>
  </w:style>
  <w:style w:type="paragraph" w:styleId="Title">
    <w:name w:val="Title"/>
    <w:basedOn w:val="Normal"/>
    <w:next w:val="Normal"/>
    <w:link w:val="TitleChar"/>
    <w:uiPriority w:val="10"/>
    <w:qFormat/>
    <w:rsid w:val="00594B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B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B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4B4F"/>
    <w:rPr>
      <w:i/>
      <w:iCs/>
      <w:color w:val="404040" w:themeColor="text1" w:themeTint="BF"/>
    </w:rPr>
  </w:style>
  <w:style w:type="paragraph" w:styleId="ListParagraph">
    <w:name w:val="List Paragraph"/>
    <w:basedOn w:val="Normal"/>
    <w:uiPriority w:val="34"/>
    <w:qFormat/>
    <w:rsid w:val="00594B4F"/>
    <w:pPr>
      <w:ind w:left="720"/>
      <w:contextualSpacing/>
    </w:pPr>
  </w:style>
  <w:style w:type="character" w:styleId="IntenseEmphasis">
    <w:name w:val="Intense Emphasis"/>
    <w:basedOn w:val="DefaultParagraphFont"/>
    <w:uiPriority w:val="21"/>
    <w:qFormat/>
    <w:rsid w:val="00594B4F"/>
    <w:rPr>
      <w:i/>
      <w:iCs/>
      <w:color w:val="0F4761" w:themeColor="accent1" w:themeShade="BF"/>
    </w:rPr>
  </w:style>
  <w:style w:type="paragraph" w:styleId="IntenseQuote">
    <w:name w:val="Intense Quote"/>
    <w:basedOn w:val="Normal"/>
    <w:next w:val="Normal"/>
    <w:link w:val="IntenseQuoteChar"/>
    <w:uiPriority w:val="30"/>
    <w:qFormat/>
    <w:rsid w:val="00594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B4F"/>
    <w:rPr>
      <w:i/>
      <w:iCs/>
      <w:color w:val="0F4761" w:themeColor="accent1" w:themeShade="BF"/>
    </w:rPr>
  </w:style>
  <w:style w:type="character" w:styleId="IntenseReference">
    <w:name w:val="Intense Reference"/>
    <w:basedOn w:val="DefaultParagraphFont"/>
    <w:uiPriority w:val="32"/>
    <w:qFormat/>
    <w:rsid w:val="00594B4F"/>
    <w:rPr>
      <w:b/>
      <w:bCs/>
      <w:smallCaps/>
      <w:color w:val="0F4761" w:themeColor="accent1" w:themeShade="BF"/>
      <w:spacing w:val="5"/>
    </w:rPr>
  </w:style>
  <w:style w:type="paragraph" w:styleId="Revision">
    <w:name w:val="Revision"/>
    <w:hidden/>
    <w:uiPriority w:val="99"/>
    <w:semiHidden/>
    <w:rsid w:val="00DE11E0"/>
  </w:style>
  <w:style w:type="character" w:styleId="CommentReference">
    <w:name w:val="annotation reference"/>
    <w:basedOn w:val="DefaultParagraphFont"/>
    <w:uiPriority w:val="99"/>
    <w:semiHidden/>
    <w:unhideWhenUsed/>
    <w:rsid w:val="00800FAF"/>
    <w:rPr>
      <w:sz w:val="16"/>
      <w:szCs w:val="16"/>
    </w:rPr>
  </w:style>
  <w:style w:type="paragraph" w:styleId="CommentText">
    <w:name w:val="annotation text"/>
    <w:basedOn w:val="Normal"/>
    <w:link w:val="CommentTextChar"/>
    <w:uiPriority w:val="99"/>
    <w:semiHidden/>
    <w:unhideWhenUsed/>
    <w:rsid w:val="00800FAF"/>
    <w:rPr>
      <w:sz w:val="20"/>
      <w:szCs w:val="20"/>
    </w:rPr>
  </w:style>
  <w:style w:type="character" w:customStyle="1" w:styleId="CommentTextChar">
    <w:name w:val="Comment Text Char"/>
    <w:basedOn w:val="DefaultParagraphFont"/>
    <w:link w:val="CommentText"/>
    <w:uiPriority w:val="99"/>
    <w:semiHidden/>
    <w:rsid w:val="00800FAF"/>
    <w:rPr>
      <w:sz w:val="20"/>
      <w:szCs w:val="20"/>
    </w:rPr>
  </w:style>
  <w:style w:type="paragraph" w:styleId="CommentSubject">
    <w:name w:val="annotation subject"/>
    <w:basedOn w:val="CommentText"/>
    <w:next w:val="CommentText"/>
    <w:link w:val="CommentSubjectChar"/>
    <w:uiPriority w:val="99"/>
    <w:semiHidden/>
    <w:unhideWhenUsed/>
    <w:rsid w:val="00800FAF"/>
    <w:rPr>
      <w:b/>
      <w:bCs/>
    </w:rPr>
  </w:style>
  <w:style w:type="character" w:customStyle="1" w:styleId="CommentSubjectChar">
    <w:name w:val="Comment Subject Char"/>
    <w:basedOn w:val="CommentTextChar"/>
    <w:link w:val="CommentSubject"/>
    <w:uiPriority w:val="99"/>
    <w:semiHidden/>
    <w:rsid w:val="00800FAF"/>
    <w:rPr>
      <w:b/>
      <w:bCs/>
      <w:sz w:val="20"/>
      <w:szCs w:val="20"/>
    </w:rPr>
  </w:style>
  <w:style w:type="table" w:styleId="TableGrid">
    <w:name w:val="Table Grid"/>
    <w:basedOn w:val="TableNormal"/>
    <w:uiPriority w:val="39"/>
    <w:rsid w:val="000D5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5DE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D5DE8"/>
    <w:rPr>
      <w:b/>
      <w:bCs/>
    </w:rPr>
  </w:style>
  <w:style w:type="character" w:styleId="Emphasis">
    <w:name w:val="Emphasis"/>
    <w:basedOn w:val="DefaultParagraphFont"/>
    <w:uiPriority w:val="20"/>
    <w:qFormat/>
    <w:rsid w:val="000D5D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68058">
      <w:bodyDiv w:val="1"/>
      <w:marLeft w:val="0"/>
      <w:marRight w:val="0"/>
      <w:marTop w:val="0"/>
      <w:marBottom w:val="0"/>
      <w:divBdr>
        <w:top w:val="none" w:sz="0" w:space="0" w:color="auto"/>
        <w:left w:val="none" w:sz="0" w:space="0" w:color="auto"/>
        <w:bottom w:val="none" w:sz="0" w:space="0" w:color="auto"/>
        <w:right w:val="none" w:sz="0" w:space="0" w:color="auto"/>
      </w:divBdr>
    </w:div>
    <w:div w:id="12495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Scheier</dc:creator>
  <cp:keywords/>
  <dc:description/>
  <cp:lastModifiedBy>Kenya Correia Dias Pinheiro dos San</cp:lastModifiedBy>
  <cp:revision>3</cp:revision>
  <dcterms:created xsi:type="dcterms:W3CDTF">2025-04-09T13:09:00Z</dcterms:created>
  <dcterms:modified xsi:type="dcterms:W3CDTF">2025-04-09T13:09:00Z</dcterms:modified>
</cp:coreProperties>
</file>