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BD4B" w14:textId="77777777" w:rsidR="00366537" w:rsidRPr="007A4025" w:rsidRDefault="00366537" w:rsidP="00366537">
      <w:pPr>
        <w:spacing w:after="0" w:line="240" w:lineRule="auto"/>
        <w:rPr>
          <w:rFonts w:cs="Calibri"/>
        </w:rPr>
      </w:pPr>
    </w:p>
    <w:p w14:paraId="077D4A25" w14:textId="4814C445" w:rsidR="00366537" w:rsidRDefault="00366537" w:rsidP="00093393">
      <w:pPr>
        <w:spacing w:after="0" w:line="240" w:lineRule="auto"/>
        <w:contextualSpacing/>
        <w:rPr>
          <w:rFonts w:cs="Calibri"/>
          <w:b/>
          <w:bCs/>
        </w:rPr>
      </w:pPr>
      <w:r w:rsidRPr="007A4025">
        <w:rPr>
          <w:rFonts w:cs="Calibri"/>
          <w:b/>
          <w:bCs/>
        </w:rPr>
        <w:t>BLOG</w:t>
      </w:r>
    </w:p>
    <w:p w14:paraId="0C71E3F7" w14:textId="6196880A" w:rsidR="00FA29A7" w:rsidRPr="007A4025" w:rsidRDefault="00FA29A7" w:rsidP="00093393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cs="Calibri"/>
          <w:b/>
          <w:bCs/>
        </w:rPr>
        <w:t>Third publication from the International STAR Registry on intraoperative hemoadsorption in iCABG patients on ticagrelor*</w:t>
      </w:r>
    </w:p>
    <w:p w14:paraId="0A90430C" w14:textId="77777777" w:rsidR="00366537" w:rsidRPr="007A4025" w:rsidRDefault="00366537" w:rsidP="00093393">
      <w:pPr>
        <w:spacing w:after="0" w:line="240" w:lineRule="auto"/>
        <w:contextualSpacing/>
        <w:rPr>
          <w:rFonts w:cs="Calibri"/>
          <w:b/>
          <w:bCs/>
        </w:rPr>
      </w:pPr>
    </w:p>
    <w:p w14:paraId="121D4010" w14:textId="6BFFE0B0" w:rsidR="008D3AF3" w:rsidRPr="007A4025" w:rsidRDefault="0011603F" w:rsidP="00093393">
      <w:pPr>
        <w:spacing w:after="0" w:line="240" w:lineRule="auto"/>
        <w:contextualSpacing/>
        <w:rPr>
          <w:rFonts w:cs="Calibri"/>
          <w:i/>
          <w:iCs/>
          <w:color w:val="000000"/>
          <w:kern w:val="0"/>
        </w:rPr>
      </w:pPr>
      <w:r w:rsidRPr="007A4025">
        <w:rPr>
          <w:rFonts w:cs="Calibri"/>
          <w:b/>
          <w:bCs/>
        </w:rPr>
        <w:t xml:space="preserve">HA; </w:t>
      </w:r>
      <w:r w:rsidR="008D3AF3" w:rsidRPr="007A4025">
        <w:rPr>
          <w:rFonts w:cs="Calibri"/>
          <w:i/>
          <w:iCs/>
        </w:rPr>
        <w:t>“</w:t>
      </w:r>
      <w:r w:rsidR="00366537" w:rsidRPr="007A4025">
        <w:rPr>
          <w:rFonts w:cs="Calibri"/>
          <w:i/>
          <w:iCs/>
        </w:rPr>
        <w:t>Welcome back</w:t>
      </w:r>
      <w:r w:rsidRPr="007A4025">
        <w:rPr>
          <w:rFonts w:cs="Calibri"/>
          <w:i/>
          <w:iCs/>
        </w:rPr>
        <w:t xml:space="preserve"> Dr Wendt. Let</w:t>
      </w:r>
      <w:r w:rsidR="00806EE9" w:rsidRPr="007A4025">
        <w:rPr>
          <w:rFonts w:cs="Calibri"/>
          <w:i/>
          <w:iCs/>
        </w:rPr>
        <w:t>’</w:t>
      </w:r>
      <w:r w:rsidRPr="007A4025">
        <w:rPr>
          <w:rFonts w:cs="Calibri"/>
          <w:i/>
          <w:iCs/>
        </w:rPr>
        <w:t xml:space="preserve">s talk this time about the recently published third analysis from the </w:t>
      </w:r>
      <w:r w:rsidR="00093393" w:rsidRPr="007A4025">
        <w:rPr>
          <w:rFonts w:cs="Calibri"/>
          <w:i/>
          <w:iCs/>
          <w:color w:val="000000"/>
          <w:kern w:val="0"/>
        </w:rPr>
        <w:t>international Safe and Timely Antithrombotic Removal (STAR) registry</w:t>
      </w:r>
      <w:r w:rsidRPr="007A4025">
        <w:rPr>
          <w:rFonts w:cs="Calibri"/>
          <w:i/>
          <w:iCs/>
          <w:color w:val="000000"/>
          <w:kern w:val="0"/>
        </w:rPr>
        <w:t>.</w:t>
      </w:r>
      <w:r w:rsidR="008D3AF3" w:rsidRPr="007A4025">
        <w:rPr>
          <w:rFonts w:cs="Calibri"/>
          <w:i/>
          <w:iCs/>
          <w:color w:val="000000"/>
          <w:kern w:val="0"/>
        </w:rPr>
        <w:t xml:space="preserve"> Can you remind us what the STAR Registry is?”</w:t>
      </w:r>
    </w:p>
    <w:p w14:paraId="6BEE6579" w14:textId="77777777" w:rsidR="008D3AF3" w:rsidRPr="007A4025" w:rsidRDefault="008D3AF3" w:rsidP="00093393">
      <w:pPr>
        <w:spacing w:after="0" w:line="240" w:lineRule="auto"/>
        <w:contextualSpacing/>
        <w:rPr>
          <w:rFonts w:cs="Calibri"/>
          <w:i/>
          <w:iCs/>
          <w:color w:val="000000"/>
          <w:kern w:val="0"/>
        </w:rPr>
      </w:pPr>
    </w:p>
    <w:p w14:paraId="2A5E2969" w14:textId="15B7349F" w:rsidR="008D3AF3" w:rsidRPr="007A4025" w:rsidRDefault="008D3AF3" w:rsidP="00093393">
      <w:pPr>
        <w:spacing w:after="0" w:line="240" w:lineRule="auto"/>
        <w:contextualSpacing/>
        <w:rPr>
          <w:rFonts w:cs="Calibri"/>
          <w:color w:val="000000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DW</w:t>
      </w:r>
      <w:r w:rsidRPr="007A4025">
        <w:rPr>
          <w:rFonts w:cs="Calibri"/>
          <w:color w:val="000000"/>
          <w:kern w:val="0"/>
        </w:rPr>
        <w:t>; “Hello! The STAR registry is an international registry designed to capture real-world data on patients treated with extracorporeal hemoadsorption (in other words, CytoSorb), for antithrombotic drug removal as part of their routine clinical care</w:t>
      </w:r>
      <w:r w:rsidR="00D54826" w:rsidRPr="007A4025">
        <w:rPr>
          <w:rFonts w:cs="Calibri"/>
          <w:color w:val="000000"/>
          <w:kern w:val="0"/>
        </w:rPr>
        <w:t xml:space="preserve"> </w:t>
      </w:r>
      <w:r w:rsidR="00D54826" w:rsidRPr="00D22059">
        <w:rPr>
          <w:rFonts w:cs="Calibri"/>
          <w:color w:val="000000" w:themeColor="text1"/>
          <w:kern w:val="0"/>
        </w:rPr>
        <w:t>during on-pump cardiac surgery</w:t>
      </w:r>
      <w:r w:rsidRPr="007A4025">
        <w:rPr>
          <w:rFonts w:cs="Calibri"/>
          <w:color w:val="000000"/>
          <w:kern w:val="0"/>
        </w:rPr>
        <w:t>.”</w:t>
      </w:r>
    </w:p>
    <w:p w14:paraId="42529196" w14:textId="77777777" w:rsidR="008D3AF3" w:rsidRPr="007A4025" w:rsidRDefault="008D3AF3" w:rsidP="00093393">
      <w:pPr>
        <w:spacing w:after="0" w:line="240" w:lineRule="auto"/>
        <w:contextualSpacing/>
        <w:rPr>
          <w:rFonts w:cs="Calibri"/>
          <w:i/>
          <w:iCs/>
          <w:color w:val="000000"/>
          <w:kern w:val="0"/>
        </w:rPr>
      </w:pPr>
    </w:p>
    <w:p w14:paraId="05280233" w14:textId="763C3283" w:rsidR="0011603F" w:rsidRPr="007A4025" w:rsidRDefault="0011603F" w:rsidP="00093393">
      <w:pPr>
        <w:spacing w:after="0" w:line="240" w:lineRule="auto"/>
        <w:contextualSpacing/>
        <w:rPr>
          <w:rFonts w:cs="Calibri"/>
          <w:color w:val="000000"/>
          <w:kern w:val="0"/>
        </w:rPr>
      </w:pPr>
      <w:r w:rsidRPr="007A4025">
        <w:rPr>
          <w:rFonts w:cs="Calibri"/>
          <w:b/>
          <w:bCs/>
          <w:i/>
          <w:iCs/>
          <w:color w:val="000000"/>
          <w:kern w:val="0"/>
        </w:rPr>
        <w:t xml:space="preserve"> </w:t>
      </w:r>
      <w:r w:rsidR="008D3AF3" w:rsidRPr="007A4025">
        <w:rPr>
          <w:rFonts w:cs="Calibri"/>
          <w:b/>
          <w:bCs/>
          <w:i/>
          <w:iCs/>
          <w:color w:val="000000"/>
          <w:kern w:val="0"/>
        </w:rPr>
        <w:t>HA;</w:t>
      </w:r>
      <w:r w:rsidR="008D3AF3" w:rsidRPr="007A4025">
        <w:rPr>
          <w:rFonts w:cs="Calibri"/>
          <w:i/>
          <w:iCs/>
          <w:color w:val="000000"/>
          <w:kern w:val="0"/>
        </w:rPr>
        <w:t xml:space="preserve"> So w</w:t>
      </w:r>
      <w:r w:rsidRPr="007A4025">
        <w:rPr>
          <w:rFonts w:cs="Calibri"/>
          <w:i/>
          <w:iCs/>
          <w:color w:val="000000"/>
          <w:kern w:val="0"/>
        </w:rPr>
        <w:t xml:space="preserve">ho were the study population </w:t>
      </w:r>
      <w:r w:rsidR="00806EE9" w:rsidRPr="007A4025">
        <w:rPr>
          <w:rFonts w:cs="Calibri"/>
          <w:i/>
          <w:iCs/>
          <w:color w:val="000000"/>
          <w:kern w:val="0"/>
        </w:rPr>
        <w:t>included in this third publication</w:t>
      </w:r>
      <w:r w:rsidRPr="007A4025">
        <w:rPr>
          <w:rFonts w:cs="Calibri"/>
          <w:i/>
          <w:iCs/>
          <w:color w:val="000000"/>
          <w:kern w:val="0"/>
        </w:rPr>
        <w:t>?</w:t>
      </w:r>
      <w:r w:rsidR="008D3AF3" w:rsidRPr="007A4025">
        <w:rPr>
          <w:rFonts w:cs="Calibri"/>
          <w:i/>
          <w:iCs/>
          <w:color w:val="000000"/>
          <w:kern w:val="0"/>
        </w:rPr>
        <w:t>”</w:t>
      </w:r>
    </w:p>
    <w:p w14:paraId="0CA3682C" w14:textId="77777777" w:rsidR="0011603F" w:rsidRPr="007A4025" w:rsidRDefault="0011603F" w:rsidP="00093393">
      <w:pPr>
        <w:spacing w:after="0" w:line="240" w:lineRule="auto"/>
        <w:contextualSpacing/>
        <w:rPr>
          <w:rFonts w:cs="Calibri"/>
          <w:color w:val="000000"/>
          <w:kern w:val="0"/>
        </w:rPr>
      </w:pPr>
    </w:p>
    <w:p w14:paraId="32560BAA" w14:textId="1033CD65" w:rsidR="0011603F" w:rsidRPr="00D22059" w:rsidRDefault="0011603F" w:rsidP="00093393">
      <w:pPr>
        <w:spacing w:after="0" w:line="240" w:lineRule="auto"/>
        <w:contextualSpacing/>
        <w:rPr>
          <w:rFonts w:cs="Calibri"/>
          <w:color w:val="000000" w:themeColor="text1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DW</w:t>
      </w:r>
      <w:r w:rsidRPr="007A4025">
        <w:rPr>
          <w:rFonts w:cs="Calibri"/>
          <w:color w:val="000000"/>
          <w:kern w:val="0"/>
        </w:rPr>
        <w:t xml:space="preserve">; </w:t>
      </w:r>
      <w:r w:rsidR="008D3AF3" w:rsidRPr="007A4025">
        <w:rPr>
          <w:rFonts w:cs="Calibri"/>
          <w:color w:val="000000"/>
          <w:kern w:val="0"/>
        </w:rPr>
        <w:t>“</w:t>
      </w:r>
      <w:r w:rsidRPr="007A4025">
        <w:rPr>
          <w:rFonts w:cs="Calibri"/>
          <w:color w:val="000000"/>
          <w:kern w:val="0"/>
        </w:rPr>
        <w:t>This new publication</w:t>
      </w:r>
      <w:r w:rsidR="00093393" w:rsidRPr="007A4025">
        <w:rPr>
          <w:rFonts w:cs="Calibri"/>
          <w:color w:val="000000"/>
          <w:kern w:val="0"/>
        </w:rPr>
        <w:t xml:space="preserve"> report</w:t>
      </w:r>
      <w:r w:rsidRPr="007A4025">
        <w:rPr>
          <w:rFonts w:cs="Calibri"/>
          <w:color w:val="000000"/>
          <w:kern w:val="0"/>
        </w:rPr>
        <w:t>s</w:t>
      </w:r>
      <w:r w:rsidR="00093393" w:rsidRPr="007A4025">
        <w:rPr>
          <w:rFonts w:cs="Calibri"/>
          <w:color w:val="000000"/>
          <w:kern w:val="0"/>
        </w:rPr>
        <w:t xml:space="preserve"> on </w:t>
      </w:r>
      <w:r w:rsidR="00366537" w:rsidRPr="007A4025">
        <w:rPr>
          <w:rFonts w:cs="Calibri"/>
          <w:color w:val="000000"/>
          <w:kern w:val="0"/>
        </w:rPr>
        <w:t>the use of</w:t>
      </w:r>
      <w:r w:rsidR="00093393" w:rsidRPr="007A4025">
        <w:rPr>
          <w:rFonts w:cs="Calibri"/>
          <w:color w:val="000000"/>
          <w:kern w:val="0"/>
        </w:rPr>
        <w:t xml:space="preserve"> intraoperative hemoadsorption in patients on</w:t>
      </w:r>
      <w:r w:rsidR="00806EE9" w:rsidRPr="007A4025">
        <w:rPr>
          <w:rFonts w:cs="Calibri"/>
          <w:color w:val="000000"/>
          <w:kern w:val="0"/>
        </w:rPr>
        <w:t xml:space="preserve"> the commonly prescribed PY212 platelet inhibitor –</w:t>
      </w:r>
      <w:r w:rsidR="00093393" w:rsidRPr="007A4025">
        <w:rPr>
          <w:rFonts w:cs="Calibri"/>
          <w:color w:val="000000"/>
          <w:kern w:val="0"/>
        </w:rPr>
        <w:t xml:space="preserve"> ticagrelor</w:t>
      </w:r>
      <w:r w:rsidR="00806EE9" w:rsidRPr="007A4025">
        <w:rPr>
          <w:rFonts w:cs="Calibri"/>
          <w:color w:val="000000"/>
          <w:kern w:val="0"/>
        </w:rPr>
        <w:t xml:space="preserve"> </w:t>
      </w:r>
      <w:r w:rsidR="00FA29A7">
        <w:rPr>
          <w:rFonts w:cs="Calibri"/>
          <w:color w:val="000000"/>
          <w:kern w:val="0"/>
        </w:rPr>
        <w:t>(also known as brilinta)</w:t>
      </w:r>
      <w:r w:rsidR="00806EE9" w:rsidRPr="007A4025">
        <w:rPr>
          <w:rFonts w:cs="Calibri"/>
          <w:color w:val="000000"/>
          <w:kern w:val="0"/>
        </w:rPr>
        <w:t>-</w:t>
      </w:r>
      <w:r w:rsidR="00093393" w:rsidRPr="007A4025">
        <w:rPr>
          <w:rFonts w:cs="Calibri"/>
          <w:color w:val="000000"/>
          <w:kern w:val="0"/>
        </w:rPr>
        <w:t xml:space="preserve"> undergoing</w:t>
      </w:r>
      <w:r w:rsidR="00AF7429" w:rsidRPr="007A4025">
        <w:rPr>
          <w:rFonts w:cs="Calibri"/>
          <w:color w:val="000000"/>
          <w:kern w:val="0"/>
        </w:rPr>
        <w:t xml:space="preserve"> urgent or emergency</w:t>
      </w:r>
      <w:r w:rsidR="00093393" w:rsidRPr="007A4025">
        <w:rPr>
          <w:rFonts w:cs="Calibri"/>
          <w:color w:val="000000"/>
          <w:kern w:val="0"/>
        </w:rPr>
        <w:t xml:space="preserve"> isolated coronary artery bypass grafting before completing the </w:t>
      </w:r>
      <w:r w:rsidR="00D54826" w:rsidRPr="00D22059">
        <w:rPr>
          <w:rFonts w:cs="Calibri"/>
          <w:color w:val="000000" w:themeColor="text1"/>
          <w:kern w:val="0"/>
        </w:rPr>
        <w:t xml:space="preserve">guideline </w:t>
      </w:r>
      <w:r w:rsidR="00093393" w:rsidRPr="00D22059">
        <w:rPr>
          <w:rFonts w:cs="Calibri"/>
          <w:color w:val="000000" w:themeColor="text1"/>
          <w:kern w:val="0"/>
        </w:rPr>
        <w:t>recommended washout period</w:t>
      </w:r>
      <w:r w:rsidRPr="00D22059">
        <w:rPr>
          <w:rFonts w:cs="Calibri"/>
          <w:color w:val="000000" w:themeColor="text1"/>
          <w:kern w:val="0"/>
        </w:rPr>
        <w:t xml:space="preserve"> of 3 days</w:t>
      </w:r>
      <w:r w:rsidR="00093393" w:rsidRPr="00D22059">
        <w:rPr>
          <w:rFonts w:cs="Calibri"/>
          <w:color w:val="000000" w:themeColor="text1"/>
          <w:kern w:val="0"/>
        </w:rPr>
        <w:t>.</w:t>
      </w:r>
      <w:r w:rsidR="008D3AF3" w:rsidRPr="00D22059">
        <w:rPr>
          <w:rFonts w:cs="Calibri"/>
          <w:color w:val="000000" w:themeColor="text1"/>
          <w:kern w:val="0"/>
        </w:rPr>
        <w:t>”</w:t>
      </w:r>
    </w:p>
    <w:p w14:paraId="65805240" w14:textId="77777777" w:rsidR="0011603F" w:rsidRPr="00D22059" w:rsidRDefault="0011603F" w:rsidP="00093393">
      <w:pPr>
        <w:spacing w:after="0" w:line="240" w:lineRule="auto"/>
        <w:contextualSpacing/>
        <w:rPr>
          <w:rFonts w:cs="Calibri"/>
          <w:color w:val="000000" w:themeColor="text1"/>
          <w:kern w:val="0"/>
        </w:rPr>
      </w:pPr>
    </w:p>
    <w:p w14:paraId="4DF8F11F" w14:textId="75797B49" w:rsidR="0011603F" w:rsidRPr="00D22059" w:rsidRDefault="0011603F" w:rsidP="00093393">
      <w:pPr>
        <w:spacing w:after="0" w:line="240" w:lineRule="auto"/>
        <w:contextualSpacing/>
        <w:rPr>
          <w:rFonts w:cs="Calibri"/>
          <w:color w:val="000000" w:themeColor="text1"/>
          <w:kern w:val="0"/>
        </w:rPr>
      </w:pPr>
      <w:r w:rsidRPr="00D22059">
        <w:rPr>
          <w:rFonts w:cs="Calibri"/>
          <w:b/>
          <w:bCs/>
          <w:color w:val="000000" w:themeColor="text1"/>
          <w:kern w:val="0"/>
        </w:rPr>
        <w:t>HA</w:t>
      </w:r>
      <w:r w:rsidRPr="00D22059">
        <w:rPr>
          <w:rFonts w:cs="Calibri"/>
          <w:color w:val="000000" w:themeColor="text1"/>
          <w:kern w:val="0"/>
        </w:rPr>
        <w:t xml:space="preserve">; </w:t>
      </w:r>
      <w:r w:rsidR="008D3AF3" w:rsidRPr="00D22059">
        <w:rPr>
          <w:rFonts w:cs="Calibri"/>
          <w:i/>
          <w:iCs/>
          <w:color w:val="000000" w:themeColor="text1"/>
          <w:kern w:val="0"/>
        </w:rPr>
        <w:t>“</w:t>
      </w:r>
      <w:r w:rsidRPr="00D22059">
        <w:rPr>
          <w:rFonts w:cs="Calibri"/>
          <w:i/>
          <w:iCs/>
          <w:color w:val="000000" w:themeColor="text1"/>
          <w:kern w:val="0"/>
        </w:rPr>
        <w:t>Can you explain why this might be an important population?</w:t>
      </w:r>
      <w:r w:rsidR="008D3AF3" w:rsidRPr="00D22059">
        <w:rPr>
          <w:rFonts w:cs="Calibri"/>
          <w:i/>
          <w:iCs/>
          <w:color w:val="000000" w:themeColor="text1"/>
          <w:kern w:val="0"/>
        </w:rPr>
        <w:t>”</w:t>
      </w:r>
    </w:p>
    <w:p w14:paraId="15212C34" w14:textId="77777777" w:rsidR="0011603F" w:rsidRPr="00D22059" w:rsidRDefault="0011603F" w:rsidP="00093393">
      <w:pPr>
        <w:spacing w:after="0" w:line="240" w:lineRule="auto"/>
        <w:contextualSpacing/>
        <w:rPr>
          <w:rFonts w:cs="Calibri"/>
          <w:color w:val="000000" w:themeColor="text1"/>
          <w:kern w:val="0"/>
        </w:rPr>
      </w:pPr>
    </w:p>
    <w:p w14:paraId="68B3782F" w14:textId="241EFA6A" w:rsidR="0011603F" w:rsidRPr="007A4025" w:rsidRDefault="0011603F" w:rsidP="00093393">
      <w:pPr>
        <w:spacing w:after="0" w:line="240" w:lineRule="auto"/>
        <w:contextualSpacing/>
        <w:rPr>
          <w:rFonts w:cs="Calibri"/>
          <w:color w:val="000000"/>
          <w:kern w:val="0"/>
        </w:rPr>
      </w:pPr>
      <w:r w:rsidRPr="00D22059">
        <w:rPr>
          <w:rFonts w:cs="Calibri"/>
          <w:b/>
          <w:bCs/>
          <w:color w:val="000000" w:themeColor="text1"/>
          <w:kern w:val="0"/>
        </w:rPr>
        <w:t>DW</w:t>
      </w:r>
      <w:r w:rsidRPr="00D22059">
        <w:rPr>
          <w:rFonts w:cs="Calibri"/>
          <w:color w:val="000000" w:themeColor="text1"/>
          <w:kern w:val="0"/>
        </w:rPr>
        <w:t>;</w:t>
      </w:r>
      <w:r w:rsidR="00366537" w:rsidRPr="00D22059">
        <w:rPr>
          <w:rFonts w:cs="Calibri"/>
          <w:color w:val="000000" w:themeColor="text1"/>
          <w:kern w:val="0"/>
        </w:rPr>
        <w:t xml:space="preserve"> </w:t>
      </w:r>
      <w:r w:rsidR="00AF7429" w:rsidRPr="00D22059">
        <w:rPr>
          <w:rFonts w:cs="Calibri"/>
          <w:color w:val="000000" w:themeColor="text1"/>
          <w:kern w:val="0"/>
        </w:rPr>
        <w:t>“ Rates of serious perioperative bleeding after isolated coronary artery bypass grafting are high in this population, especially if the patient has recently taken an antithrombotic</w:t>
      </w:r>
      <w:r w:rsidR="00806EE9" w:rsidRPr="00D22059">
        <w:rPr>
          <w:rFonts w:cs="Calibri"/>
          <w:color w:val="000000" w:themeColor="text1"/>
          <w:kern w:val="0"/>
        </w:rPr>
        <w:t xml:space="preserve"> </w:t>
      </w:r>
      <w:r w:rsidR="00D54826" w:rsidRPr="00D22059">
        <w:rPr>
          <w:rFonts w:cs="Calibri"/>
          <w:color w:val="000000" w:themeColor="text1"/>
          <w:kern w:val="0"/>
        </w:rPr>
        <w:t xml:space="preserve">agent </w:t>
      </w:r>
      <w:r w:rsidR="00806EE9" w:rsidRPr="00D22059">
        <w:rPr>
          <w:rFonts w:cs="Calibri"/>
          <w:color w:val="000000" w:themeColor="text1"/>
          <w:kern w:val="0"/>
        </w:rPr>
        <w:t>an</w:t>
      </w:r>
      <w:r w:rsidR="00806EE9" w:rsidRPr="007A4025">
        <w:rPr>
          <w:rFonts w:cs="Calibri"/>
          <w:color w:val="000000"/>
          <w:kern w:val="0"/>
        </w:rPr>
        <w:t>d there hasn’t been</w:t>
      </w:r>
      <w:r w:rsidR="00AF7429" w:rsidRPr="007A4025">
        <w:rPr>
          <w:rFonts w:cs="Calibri"/>
          <w:color w:val="000000"/>
          <w:kern w:val="0"/>
        </w:rPr>
        <w:t xml:space="preserve"> enough time for the drug to </w:t>
      </w:r>
      <w:r w:rsidR="00806EE9" w:rsidRPr="007A4025">
        <w:rPr>
          <w:rFonts w:cs="Calibri"/>
          <w:color w:val="000000"/>
          <w:kern w:val="0"/>
        </w:rPr>
        <w:t>get</w:t>
      </w:r>
      <w:r w:rsidR="00AF7429" w:rsidRPr="007A4025">
        <w:rPr>
          <w:rFonts w:cs="Calibri"/>
          <w:color w:val="000000"/>
          <w:kern w:val="0"/>
        </w:rPr>
        <w:t xml:space="preserve"> out of the patient’s system before they need to be taken for surgery. Anything that can be done to mitigate this risk of bleeding is obviously of high interest.” </w:t>
      </w:r>
    </w:p>
    <w:p w14:paraId="07FDC683" w14:textId="77777777" w:rsidR="00093393" w:rsidRPr="007A4025" w:rsidRDefault="00093393" w:rsidP="00093393">
      <w:pPr>
        <w:spacing w:after="0" w:line="240" w:lineRule="auto"/>
        <w:contextualSpacing/>
        <w:rPr>
          <w:rFonts w:cs="Calibri"/>
          <w:color w:val="000000"/>
          <w:kern w:val="0"/>
        </w:rPr>
      </w:pPr>
    </w:p>
    <w:p w14:paraId="1C7C0144" w14:textId="4F1B3FEE" w:rsidR="0011603F" w:rsidRPr="007A4025" w:rsidRDefault="0011603F" w:rsidP="00093393">
      <w:pPr>
        <w:spacing w:after="0" w:line="240" w:lineRule="auto"/>
        <w:contextualSpacing/>
        <w:rPr>
          <w:rFonts w:cs="Calibri"/>
          <w:color w:val="000000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HA</w:t>
      </w:r>
      <w:r w:rsidRPr="007A4025">
        <w:rPr>
          <w:rFonts w:cs="Calibri"/>
          <w:color w:val="000000"/>
          <w:kern w:val="0"/>
        </w:rPr>
        <w:t xml:space="preserve">; </w:t>
      </w:r>
      <w:r w:rsidR="008D3AF3" w:rsidRPr="007A4025">
        <w:rPr>
          <w:rFonts w:cs="Calibri"/>
          <w:i/>
          <w:iCs/>
          <w:color w:val="000000"/>
          <w:kern w:val="0"/>
        </w:rPr>
        <w:t>“</w:t>
      </w:r>
      <w:r w:rsidRPr="007A4025">
        <w:rPr>
          <w:rFonts w:cs="Calibri"/>
          <w:i/>
          <w:iCs/>
          <w:color w:val="000000"/>
          <w:kern w:val="0"/>
        </w:rPr>
        <w:t xml:space="preserve">Tell us about the </w:t>
      </w:r>
      <w:r w:rsidR="00AF7429" w:rsidRPr="007A4025">
        <w:rPr>
          <w:rFonts w:cs="Calibri"/>
          <w:i/>
          <w:iCs/>
          <w:color w:val="000000"/>
          <w:kern w:val="0"/>
        </w:rPr>
        <w:t>publication</w:t>
      </w:r>
      <w:r w:rsidR="00366537" w:rsidRPr="007A4025">
        <w:rPr>
          <w:rFonts w:cs="Calibri"/>
          <w:i/>
          <w:iCs/>
          <w:color w:val="000000"/>
          <w:kern w:val="0"/>
        </w:rPr>
        <w:t>.</w:t>
      </w:r>
      <w:r w:rsidR="008D3AF3" w:rsidRPr="007A4025">
        <w:rPr>
          <w:rFonts w:cs="Calibri"/>
          <w:i/>
          <w:iCs/>
          <w:color w:val="000000"/>
          <w:kern w:val="0"/>
        </w:rPr>
        <w:t>”</w:t>
      </w:r>
    </w:p>
    <w:p w14:paraId="056F842F" w14:textId="77777777" w:rsidR="0011603F" w:rsidRPr="007A4025" w:rsidRDefault="0011603F" w:rsidP="00093393">
      <w:pPr>
        <w:spacing w:after="0" w:line="240" w:lineRule="auto"/>
        <w:contextualSpacing/>
        <w:rPr>
          <w:rFonts w:cs="Calibri"/>
          <w:color w:val="000000"/>
          <w:kern w:val="0"/>
        </w:rPr>
      </w:pPr>
    </w:p>
    <w:p w14:paraId="302E8EA5" w14:textId="05F82330" w:rsidR="00093393" w:rsidRPr="007A4025" w:rsidRDefault="0011603F" w:rsidP="0011603F">
      <w:pPr>
        <w:spacing w:after="0" w:line="240" w:lineRule="auto"/>
        <w:contextualSpacing/>
        <w:rPr>
          <w:rFonts w:cs="Calibri"/>
          <w:color w:val="000000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DW</w:t>
      </w:r>
      <w:r w:rsidRPr="007A4025">
        <w:rPr>
          <w:rFonts w:cs="Calibri"/>
          <w:color w:val="000000"/>
          <w:kern w:val="0"/>
        </w:rPr>
        <w:t xml:space="preserve">; </w:t>
      </w:r>
      <w:r w:rsidR="008D3AF3" w:rsidRPr="007A4025">
        <w:rPr>
          <w:rFonts w:cs="Calibri"/>
          <w:color w:val="000000"/>
          <w:kern w:val="0"/>
        </w:rPr>
        <w:t>“</w:t>
      </w:r>
      <w:r w:rsidR="00AF7429" w:rsidRPr="007A4025">
        <w:rPr>
          <w:rFonts w:cs="Calibri"/>
          <w:color w:val="000000"/>
          <w:kern w:val="0"/>
        </w:rPr>
        <w:t xml:space="preserve">This publication includes </w:t>
      </w:r>
      <w:r w:rsidR="00093393" w:rsidRPr="007A4025">
        <w:rPr>
          <w:rFonts w:cs="Calibri"/>
          <w:color w:val="000000"/>
          <w:kern w:val="0"/>
        </w:rPr>
        <w:t xml:space="preserve">102 </w:t>
      </w:r>
      <w:r w:rsidRPr="007A4025">
        <w:rPr>
          <w:rFonts w:cs="Calibri"/>
          <w:color w:val="000000"/>
          <w:kern w:val="0"/>
        </w:rPr>
        <w:t xml:space="preserve">mostly male </w:t>
      </w:r>
      <w:r w:rsidR="00093393" w:rsidRPr="007A4025">
        <w:rPr>
          <w:rFonts w:cs="Calibri"/>
          <w:color w:val="000000"/>
          <w:kern w:val="0"/>
        </w:rPr>
        <w:t>patients</w:t>
      </w:r>
      <w:r w:rsidRPr="007A4025">
        <w:rPr>
          <w:rFonts w:cs="Calibri"/>
          <w:color w:val="000000"/>
          <w:kern w:val="0"/>
        </w:rPr>
        <w:t xml:space="preserve"> with an average age of</w:t>
      </w:r>
      <w:r w:rsidR="00093393" w:rsidRPr="007A4025">
        <w:rPr>
          <w:rFonts w:cs="Calibri"/>
          <w:color w:val="000000"/>
          <w:kern w:val="0"/>
        </w:rPr>
        <w:t xml:space="preserve"> </w:t>
      </w:r>
      <w:r w:rsidR="00D54826" w:rsidRPr="00D22059">
        <w:rPr>
          <w:rFonts w:cs="Calibri"/>
          <w:color w:val="000000" w:themeColor="text1"/>
          <w:kern w:val="0"/>
        </w:rPr>
        <w:t>almost 64</w:t>
      </w:r>
      <w:r w:rsidRPr="00D22059">
        <w:rPr>
          <w:rFonts w:cs="Calibri"/>
          <w:color w:val="000000" w:themeColor="text1"/>
          <w:kern w:val="0"/>
        </w:rPr>
        <w:t xml:space="preserve"> </w:t>
      </w:r>
      <w:r w:rsidR="00AF7429" w:rsidRPr="007A4025">
        <w:rPr>
          <w:rFonts w:cs="Calibri"/>
          <w:color w:val="000000"/>
          <w:kern w:val="0"/>
        </w:rPr>
        <w:t>who had recently taken ticagrelor.</w:t>
      </w:r>
      <w:r w:rsidRPr="007A4025">
        <w:rPr>
          <w:rFonts w:cs="Calibri"/>
          <w:color w:val="000000"/>
          <w:kern w:val="0"/>
        </w:rPr>
        <w:t xml:space="preserve"> </w:t>
      </w:r>
      <w:r w:rsidR="00093393" w:rsidRPr="007A4025">
        <w:rPr>
          <w:rFonts w:cs="Calibri"/>
          <w:color w:val="000000"/>
          <w:kern w:val="0"/>
        </w:rPr>
        <w:t xml:space="preserve">Two groups were created based on </w:t>
      </w:r>
      <w:r w:rsidR="00366537" w:rsidRPr="007A4025">
        <w:rPr>
          <w:rFonts w:cs="Calibri"/>
          <w:color w:val="000000"/>
          <w:kern w:val="0"/>
        </w:rPr>
        <w:t xml:space="preserve">the </w:t>
      </w:r>
      <w:r w:rsidR="00093393" w:rsidRPr="007A4025">
        <w:rPr>
          <w:rFonts w:cs="Calibri"/>
          <w:color w:val="000000"/>
          <w:kern w:val="0"/>
        </w:rPr>
        <w:t xml:space="preserve">time from </w:t>
      </w:r>
      <w:r w:rsidR="00366537" w:rsidRPr="007A4025">
        <w:rPr>
          <w:rFonts w:cs="Calibri"/>
          <w:color w:val="000000"/>
          <w:kern w:val="0"/>
        </w:rPr>
        <w:t xml:space="preserve">the </w:t>
      </w:r>
      <w:r w:rsidR="00093393" w:rsidRPr="007A4025">
        <w:rPr>
          <w:rFonts w:cs="Calibri"/>
          <w:color w:val="000000"/>
          <w:kern w:val="0"/>
        </w:rPr>
        <w:t>last dose</w:t>
      </w:r>
      <w:r w:rsidRPr="007A4025">
        <w:rPr>
          <w:rFonts w:cs="Calibri"/>
          <w:color w:val="000000"/>
          <w:kern w:val="0"/>
        </w:rPr>
        <w:t xml:space="preserve"> of ticagrelor</w:t>
      </w:r>
      <w:r w:rsidR="00093393" w:rsidRPr="007A4025">
        <w:rPr>
          <w:rFonts w:cs="Calibri"/>
          <w:color w:val="000000"/>
          <w:kern w:val="0"/>
        </w:rPr>
        <w:t xml:space="preserve"> to surgery: Group-1 </w:t>
      </w:r>
      <w:r w:rsidR="00366537" w:rsidRPr="007A4025">
        <w:rPr>
          <w:rFonts w:cs="Calibri"/>
          <w:color w:val="000000"/>
          <w:kern w:val="0"/>
        </w:rPr>
        <w:t xml:space="preserve">was </w:t>
      </w:r>
      <w:r w:rsidRPr="007A4025">
        <w:rPr>
          <w:rFonts w:cs="Calibri"/>
          <w:color w:val="000000"/>
          <w:kern w:val="0"/>
        </w:rPr>
        <w:t xml:space="preserve">less than 24 hrs and </w:t>
      </w:r>
      <w:r w:rsidR="00093393" w:rsidRPr="007A4025">
        <w:rPr>
          <w:rFonts w:cs="Calibri"/>
          <w:color w:val="000000"/>
          <w:kern w:val="0"/>
        </w:rPr>
        <w:t>Group-2</w:t>
      </w:r>
      <w:r w:rsidRPr="007A4025">
        <w:rPr>
          <w:rFonts w:cs="Calibri"/>
          <w:color w:val="000000"/>
          <w:kern w:val="0"/>
        </w:rPr>
        <w:t xml:space="preserve"> fr</w:t>
      </w:r>
      <w:r w:rsidR="00366537" w:rsidRPr="007A4025">
        <w:rPr>
          <w:rFonts w:cs="Calibri"/>
          <w:color w:val="000000"/>
          <w:kern w:val="0"/>
        </w:rPr>
        <w:t>o</w:t>
      </w:r>
      <w:r w:rsidRPr="007A4025">
        <w:rPr>
          <w:rFonts w:cs="Calibri"/>
          <w:color w:val="000000"/>
          <w:kern w:val="0"/>
        </w:rPr>
        <w:t xml:space="preserve">m </w:t>
      </w:r>
      <w:r w:rsidR="00093393" w:rsidRPr="007A4025">
        <w:rPr>
          <w:rFonts w:cs="Calibri"/>
          <w:color w:val="000000"/>
          <w:kern w:val="0"/>
        </w:rPr>
        <w:t>24-72</w:t>
      </w:r>
      <w:r w:rsidR="008D3AF3" w:rsidRPr="007A4025">
        <w:rPr>
          <w:rFonts w:cs="Calibri"/>
          <w:color w:val="000000"/>
          <w:kern w:val="0"/>
        </w:rPr>
        <w:t xml:space="preserve"> </w:t>
      </w:r>
      <w:r w:rsidR="00093393" w:rsidRPr="007A4025">
        <w:rPr>
          <w:rFonts w:cs="Calibri"/>
          <w:color w:val="000000"/>
          <w:kern w:val="0"/>
        </w:rPr>
        <w:t>h</w:t>
      </w:r>
      <w:r w:rsidR="008D3AF3" w:rsidRPr="007A4025">
        <w:rPr>
          <w:rFonts w:cs="Calibri"/>
          <w:color w:val="000000"/>
          <w:kern w:val="0"/>
        </w:rPr>
        <w:t>rs</w:t>
      </w:r>
      <w:r w:rsidR="00366537" w:rsidRPr="007A4025">
        <w:rPr>
          <w:rFonts w:cs="Calibri"/>
          <w:color w:val="000000"/>
          <w:kern w:val="0"/>
        </w:rPr>
        <w:t>.</w:t>
      </w:r>
      <w:r w:rsidR="008D3AF3" w:rsidRPr="007A4025">
        <w:rPr>
          <w:rFonts w:cs="Calibri"/>
          <w:color w:val="000000"/>
          <w:kern w:val="0"/>
        </w:rPr>
        <w:t>”</w:t>
      </w:r>
      <w:r w:rsidR="00093393" w:rsidRPr="007A4025">
        <w:rPr>
          <w:rFonts w:cs="Calibri"/>
          <w:color w:val="000000"/>
          <w:kern w:val="0"/>
        </w:rPr>
        <w:t xml:space="preserve"> </w:t>
      </w:r>
    </w:p>
    <w:p w14:paraId="314BAC3A" w14:textId="77777777" w:rsidR="00093393" w:rsidRPr="007A4025" w:rsidRDefault="00093393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4C80D6BD" w14:textId="6AE94280" w:rsidR="0011603F" w:rsidRPr="007A4025" w:rsidRDefault="0011603F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HA</w:t>
      </w:r>
      <w:r w:rsidRPr="007A4025">
        <w:rPr>
          <w:rFonts w:cs="Calibri"/>
          <w:color w:val="000000"/>
          <w:kern w:val="0"/>
        </w:rPr>
        <w:t xml:space="preserve">; </w:t>
      </w:r>
      <w:r w:rsidR="008D3AF3" w:rsidRPr="007A4025">
        <w:rPr>
          <w:rFonts w:cs="Calibri"/>
          <w:i/>
          <w:iCs/>
          <w:color w:val="000000"/>
          <w:kern w:val="0"/>
        </w:rPr>
        <w:t>“</w:t>
      </w:r>
      <w:r w:rsidRPr="007A4025">
        <w:rPr>
          <w:rFonts w:cs="Calibri"/>
          <w:i/>
          <w:iCs/>
          <w:color w:val="000000"/>
          <w:kern w:val="0"/>
        </w:rPr>
        <w:t>Were there any differences in the groups when they went into the study?</w:t>
      </w:r>
      <w:r w:rsidR="008D3AF3" w:rsidRPr="007A4025">
        <w:rPr>
          <w:rFonts w:cs="Calibri"/>
          <w:i/>
          <w:iCs/>
          <w:color w:val="000000"/>
          <w:kern w:val="0"/>
        </w:rPr>
        <w:t>”</w:t>
      </w:r>
    </w:p>
    <w:p w14:paraId="6630264D" w14:textId="77777777" w:rsidR="0011603F" w:rsidRPr="007A4025" w:rsidRDefault="0011603F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43187AA" w14:textId="2AD45B0B" w:rsidR="000A1402" w:rsidRPr="007A4025" w:rsidRDefault="0011603F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DW</w:t>
      </w:r>
      <w:r w:rsidRPr="007A4025">
        <w:rPr>
          <w:rFonts w:cs="Calibri"/>
          <w:color w:val="000000"/>
          <w:kern w:val="0"/>
        </w:rPr>
        <w:t xml:space="preserve">; </w:t>
      </w:r>
      <w:r w:rsidR="008D3AF3" w:rsidRPr="007A4025">
        <w:rPr>
          <w:rFonts w:cs="Calibri"/>
          <w:color w:val="000000"/>
          <w:kern w:val="0"/>
        </w:rPr>
        <w:t>“</w:t>
      </w:r>
      <w:r w:rsidR="00093393" w:rsidRPr="007A4025">
        <w:rPr>
          <w:rFonts w:cs="Calibri"/>
          <w:color w:val="000000"/>
          <w:kern w:val="0"/>
        </w:rPr>
        <w:t>Group</w:t>
      </w:r>
      <w:r w:rsidR="00366537" w:rsidRPr="007A4025">
        <w:rPr>
          <w:rFonts w:cs="Calibri"/>
          <w:color w:val="000000"/>
          <w:kern w:val="0"/>
        </w:rPr>
        <w:t>-</w:t>
      </w:r>
      <w:r w:rsidR="00093393" w:rsidRPr="007A4025">
        <w:rPr>
          <w:rFonts w:cs="Calibri"/>
          <w:color w:val="000000"/>
          <w:kern w:val="0"/>
        </w:rPr>
        <w:t xml:space="preserve">1 </w:t>
      </w:r>
      <w:r w:rsidR="000A1402" w:rsidRPr="007A4025">
        <w:rPr>
          <w:rFonts w:cs="Calibri"/>
          <w:color w:val="000000"/>
          <w:kern w:val="0"/>
        </w:rPr>
        <w:t xml:space="preserve">were high risk patients, </w:t>
      </w:r>
      <w:r w:rsidR="00093393" w:rsidRPr="007A4025">
        <w:rPr>
          <w:rFonts w:cs="Calibri"/>
          <w:color w:val="000000"/>
          <w:kern w:val="0"/>
        </w:rPr>
        <w:t xml:space="preserve">based on </w:t>
      </w:r>
      <w:r w:rsidRPr="007A4025">
        <w:rPr>
          <w:rFonts w:cs="Calibri"/>
          <w:color w:val="000000"/>
          <w:kern w:val="0"/>
        </w:rPr>
        <w:t xml:space="preserve">their </w:t>
      </w:r>
      <w:r w:rsidR="00093393" w:rsidRPr="007A4025">
        <w:rPr>
          <w:rFonts w:cs="Calibri"/>
          <w:color w:val="000000"/>
          <w:kern w:val="0"/>
        </w:rPr>
        <w:t>EuroSCORE-II</w:t>
      </w:r>
      <w:r w:rsidR="000A1402" w:rsidRPr="007A4025">
        <w:rPr>
          <w:rFonts w:cs="Calibri"/>
          <w:color w:val="000000"/>
          <w:kern w:val="0"/>
        </w:rPr>
        <w:t>, with a high perioperative risk</w:t>
      </w:r>
      <w:r w:rsidR="00093393" w:rsidRPr="007A4025">
        <w:rPr>
          <w:rFonts w:cs="Calibri"/>
          <w:color w:val="000000"/>
          <w:kern w:val="0"/>
        </w:rPr>
        <w:t xml:space="preserve"> and</w:t>
      </w:r>
      <w:r w:rsidRPr="007A4025">
        <w:rPr>
          <w:rFonts w:cs="Calibri"/>
          <w:color w:val="000000"/>
          <w:kern w:val="0"/>
        </w:rPr>
        <w:t xml:space="preserve">, not surprisingly, more </w:t>
      </w:r>
      <w:r w:rsidR="00093393" w:rsidRPr="007A4025">
        <w:rPr>
          <w:rFonts w:cs="Calibri"/>
          <w:color w:val="000000"/>
          <w:kern w:val="0"/>
        </w:rPr>
        <w:t>emergency indication</w:t>
      </w:r>
      <w:r w:rsidR="00366537" w:rsidRPr="007A4025">
        <w:rPr>
          <w:rFonts w:cs="Calibri"/>
          <w:color w:val="000000"/>
          <w:kern w:val="0"/>
        </w:rPr>
        <w:t>s for surgery compared to Group-2.</w:t>
      </w:r>
      <w:r w:rsidR="00093393" w:rsidRPr="007A4025">
        <w:rPr>
          <w:rFonts w:cs="Calibri"/>
          <w:color w:val="000000"/>
          <w:kern w:val="0"/>
        </w:rPr>
        <w:t xml:space="preserve"> </w:t>
      </w:r>
      <w:r w:rsidR="000A1402" w:rsidRPr="007A4025">
        <w:rPr>
          <w:rFonts w:cs="Calibri"/>
          <w:color w:val="000000"/>
          <w:kern w:val="0"/>
        </w:rPr>
        <w:t>O</w:t>
      </w:r>
      <w:r w:rsidR="00093393" w:rsidRPr="007A4025">
        <w:rPr>
          <w:rFonts w:cs="Calibri"/>
          <w:color w:val="000000"/>
          <w:kern w:val="0"/>
        </w:rPr>
        <w:t xml:space="preserve">peration and cardiopulmonary bypass </w:t>
      </w:r>
      <w:r w:rsidR="000A1402" w:rsidRPr="007A4025">
        <w:rPr>
          <w:rFonts w:cs="Calibri"/>
          <w:color w:val="000000"/>
          <w:kern w:val="0"/>
        </w:rPr>
        <w:t>times</w:t>
      </w:r>
      <w:r w:rsidR="00093393" w:rsidRPr="007A4025">
        <w:rPr>
          <w:rFonts w:cs="Calibri"/>
          <w:color w:val="000000"/>
          <w:kern w:val="0"/>
        </w:rPr>
        <w:t xml:space="preserve"> were similar</w:t>
      </w:r>
      <w:r w:rsidR="00366537" w:rsidRPr="007A4025">
        <w:rPr>
          <w:rFonts w:cs="Calibri"/>
          <w:color w:val="000000"/>
          <w:kern w:val="0"/>
        </w:rPr>
        <w:t xml:space="preserve"> for both groups</w:t>
      </w:r>
      <w:r w:rsidR="00093393" w:rsidRPr="007A4025">
        <w:rPr>
          <w:rFonts w:cs="Calibri"/>
          <w:color w:val="000000"/>
          <w:kern w:val="0"/>
        </w:rPr>
        <w:t xml:space="preserve"> at around 4.4 hours. </w:t>
      </w:r>
    </w:p>
    <w:p w14:paraId="48AE7645" w14:textId="77777777" w:rsidR="000A1402" w:rsidRPr="007A4025" w:rsidRDefault="000A1402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2EAE2545" w14:textId="624AA369" w:rsidR="000A1402" w:rsidRPr="007A4025" w:rsidRDefault="000A1402" w:rsidP="000A14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HA</w:t>
      </w:r>
      <w:r w:rsidRPr="007A4025">
        <w:rPr>
          <w:rFonts w:cs="Calibri"/>
          <w:color w:val="000000"/>
          <w:kern w:val="0"/>
        </w:rPr>
        <w:t xml:space="preserve">; </w:t>
      </w:r>
      <w:r w:rsidRPr="007A4025">
        <w:rPr>
          <w:rFonts w:cs="Calibri"/>
          <w:i/>
          <w:iCs/>
          <w:color w:val="000000"/>
          <w:kern w:val="0"/>
        </w:rPr>
        <w:t>“What did this mean for the results?”</w:t>
      </w:r>
    </w:p>
    <w:p w14:paraId="4A1CDFBD" w14:textId="77777777" w:rsidR="000A1402" w:rsidRPr="007A4025" w:rsidRDefault="000A1402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77EFBF0A" w14:textId="22E5079C" w:rsidR="00093393" w:rsidRPr="007A4025" w:rsidRDefault="000A1402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DW</w:t>
      </w:r>
      <w:r w:rsidRPr="007A4025">
        <w:rPr>
          <w:rFonts w:cs="Calibri"/>
          <w:color w:val="000000"/>
          <w:kern w:val="0"/>
        </w:rPr>
        <w:t>; “</w:t>
      </w:r>
      <w:r w:rsidR="00366537" w:rsidRPr="007A4025">
        <w:rPr>
          <w:rFonts w:cs="Calibri"/>
          <w:color w:val="000000"/>
          <w:kern w:val="0"/>
        </w:rPr>
        <w:t>Results showed that s</w:t>
      </w:r>
      <w:r w:rsidR="00093393" w:rsidRPr="007A4025">
        <w:rPr>
          <w:rFonts w:cs="Calibri"/>
          <w:color w:val="000000"/>
          <w:kern w:val="0"/>
        </w:rPr>
        <w:t xml:space="preserve">evere bleeding and re-operations </w:t>
      </w:r>
      <w:r w:rsidR="00366537" w:rsidRPr="007A4025">
        <w:rPr>
          <w:rFonts w:cs="Calibri"/>
          <w:color w:val="000000"/>
          <w:kern w:val="0"/>
        </w:rPr>
        <w:t xml:space="preserve">needed </w:t>
      </w:r>
      <w:r w:rsidR="00093393" w:rsidRPr="007A4025">
        <w:rPr>
          <w:rFonts w:cs="Calibri"/>
          <w:color w:val="000000"/>
          <w:kern w:val="0"/>
        </w:rPr>
        <w:t>for bleeding were more frequent in G</w:t>
      </w:r>
      <w:r w:rsidR="00366537" w:rsidRPr="007A4025">
        <w:rPr>
          <w:rFonts w:cs="Calibri"/>
          <w:color w:val="000000"/>
          <w:kern w:val="0"/>
        </w:rPr>
        <w:t xml:space="preserve">roup </w:t>
      </w:r>
      <w:r w:rsidR="00093393" w:rsidRPr="007A4025">
        <w:rPr>
          <w:rFonts w:cs="Calibri"/>
          <w:color w:val="000000"/>
          <w:kern w:val="0"/>
        </w:rPr>
        <w:t>1</w:t>
      </w:r>
      <w:r w:rsidR="00366537" w:rsidRPr="007A4025">
        <w:rPr>
          <w:rFonts w:cs="Calibri"/>
          <w:color w:val="000000"/>
          <w:kern w:val="0"/>
        </w:rPr>
        <w:t>. Consequently, this translated into more blood products</w:t>
      </w:r>
      <w:r w:rsidR="00093393" w:rsidRPr="007A4025">
        <w:rPr>
          <w:rFonts w:cs="Calibri"/>
          <w:color w:val="000000"/>
          <w:kern w:val="0"/>
        </w:rPr>
        <w:t xml:space="preserve"> </w:t>
      </w:r>
      <w:r w:rsidR="00366537" w:rsidRPr="007A4025">
        <w:rPr>
          <w:rFonts w:cs="Calibri"/>
          <w:color w:val="000000"/>
          <w:kern w:val="0"/>
        </w:rPr>
        <w:t xml:space="preserve">being given to </w:t>
      </w:r>
      <w:r w:rsidRPr="007A4025">
        <w:rPr>
          <w:rFonts w:cs="Calibri"/>
          <w:color w:val="000000"/>
          <w:kern w:val="0"/>
        </w:rPr>
        <w:t>this group</w:t>
      </w:r>
      <w:r w:rsidR="00366537" w:rsidRPr="007A4025">
        <w:rPr>
          <w:rFonts w:cs="Calibri"/>
          <w:color w:val="000000"/>
          <w:kern w:val="0"/>
        </w:rPr>
        <w:t>.</w:t>
      </w:r>
      <w:r w:rsidR="00CA3A89" w:rsidRPr="007A4025">
        <w:rPr>
          <w:rFonts w:cs="Calibri"/>
          <w:color w:val="000000"/>
          <w:kern w:val="0"/>
        </w:rPr>
        <w:t xml:space="preserve"> Importantly, Group 2</w:t>
      </w:r>
      <w:r w:rsidRPr="007A4025">
        <w:rPr>
          <w:rFonts w:cs="Calibri"/>
          <w:color w:val="000000"/>
          <w:kern w:val="0"/>
        </w:rPr>
        <w:t>’s</w:t>
      </w:r>
      <w:r w:rsidR="00CA3A89" w:rsidRPr="007A4025">
        <w:rPr>
          <w:rFonts w:cs="Calibri"/>
          <w:color w:val="000000"/>
          <w:kern w:val="0"/>
        </w:rPr>
        <w:t xml:space="preserve"> bleeding rates were </w:t>
      </w:r>
      <w:r w:rsidRPr="007A4025">
        <w:rPr>
          <w:rFonts w:cs="Calibri"/>
          <w:color w:val="000000"/>
          <w:kern w:val="0"/>
        </w:rPr>
        <w:t>m</w:t>
      </w:r>
      <w:r w:rsidR="00CA3A89" w:rsidRPr="007A4025">
        <w:rPr>
          <w:rFonts w:cs="Calibri"/>
          <w:color w:val="000000"/>
          <w:kern w:val="0"/>
        </w:rPr>
        <w:t>uch lower than that reported in the</w:t>
      </w:r>
      <w:r w:rsidRPr="007A4025">
        <w:rPr>
          <w:rFonts w:cs="Calibri"/>
          <w:color w:val="000000"/>
          <w:kern w:val="0"/>
        </w:rPr>
        <w:t xml:space="preserve"> wider</w:t>
      </w:r>
      <w:r w:rsidR="00CA3A89" w:rsidRPr="007A4025">
        <w:rPr>
          <w:rFonts w:cs="Calibri"/>
          <w:color w:val="000000"/>
          <w:kern w:val="0"/>
        </w:rPr>
        <w:t xml:space="preserve"> literature.</w:t>
      </w:r>
      <w:r w:rsidRPr="007A4025">
        <w:rPr>
          <w:rFonts w:cs="Calibri"/>
          <w:color w:val="000000"/>
          <w:kern w:val="0"/>
        </w:rPr>
        <w:t xml:space="preserve"> The authors state that </w:t>
      </w:r>
      <w:r w:rsidR="00D54826" w:rsidRPr="007A4025">
        <w:rPr>
          <w:rFonts w:cs="Calibri"/>
          <w:color w:val="000000"/>
          <w:kern w:val="0"/>
        </w:rPr>
        <w:t>overall,</w:t>
      </w:r>
      <w:r w:rsidRPr="007A4025">
        <w:rPr>
          <w:rFonts w:cs="Calibri"/>
          <w:color w:val="000000"/>
          <w:kern w:val="0"/>
        </w:rPr>
        <w:t xml:space="preserve"> the results suggest that intraoperative CytoSorb use is a simple and safe intervention to </w:t>
      </w:r>
      <w:r w:rsidR="00806EE9" w:rsidRPr="007A4025">
        <w:rPr>
          <w:rFonts w:cs="Calibri"/>
          <w:color w:val="000000"/>
          <w:kern w:val="0"/>
        </w:rPr>
        <w:t>help reduce</w:t>
      </w:r>
      <w:r w:rsidRPr="007A4025">
        <w:rPr>
          <w:rFonts w:cs="Calibri"/>
          <w:color w:val="000000"/>
          <w:kern w:val="0"/>
        </w:rPr>
        <w:t xml:space="preserve"> the high perioperative bleeding risk of patients on ticagrelor undergoing isolated CABG surgery before completing the recommended 3-day washout. In fact, among the Group 2 non-emergent cases CytoSorb appeared to completely eliminate the excessive ticagrelor-related bleeding risk.</w:t>
      </w:r>
      <w:r w:rsidR="008D3AF3" w:rsidRPr="007A4025">
        <w:rPr>
          <w:rFonts w:cs="Calibri"/>
          <w:color w:val="000000"/>
          <w:kern w:val="0"/>
        </w:rPr>
        <w:t>”</w:t>
      </w:r>
    </w:p>
    <w:p w14:paraId="1C16A76C" w14:textId="77777777" w:rsidR="00366537" w:rsidRPr="007A4025" w:rsidRDefault="00366537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F15477B" w14:textId="558A3ABB" w:rsidR="00366537" w:rsidRPr="007A4025" w:rsidRDefault="00366537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HA</w:t>
      </w:r>
      <w:r w:rsidRPr="007A4025">
        <w:rPr>
          <w:rFonts w:cs="Calibri"/>
          <w:color w:val="000000"/>
          <w:kern w:val="0"/>
        </w:rPr>
        <w:t xml:space="preserve">; </w:t>
      </w:r>
      <w:r w:rsidR="008D3AF3" w:rsidRPr="007A4025">
        <w:rPr>
          <w:rFonts w:cs="Calibri"/>
          <w:i/>
          <w:iCs/>
          <w:color w:val="000000"/>
          <w:kern w:val="0"/>
        </w:rPr>
        <w:t>“</w:t>
      </w:r>
      <w:r w:rsidRPr="007A4025">
        <w:rPr>
          <w:rFonts w:cs="Calibri"/>
          <w:i/>
          <w:iCs/>
          <w:color w:val="000000"/>
          <w:kern w:val="0"/>
        </w:rPr>
        <w:t>What does this mean in clinical practice?</w:t>
      </w:r>
      <w:r w:rsidR="008D3AF3" w:rsidRPr="007A4025">
        <w:rPr>
          <w:rFonts w:cs="Calibri"/>
          <w:i/>
          <w:iCs/>
          <w:color w:val="000000"/>
          <w:kern w:val="0"/>
        </w:rPr>
        <w:t>”</w:t>
      </w:r>
    </w:p>
    <w:p w14:paraId="7EDBF6EC" w14:textId="77777777" w:rsidR="00093393" w:rsidRPr="007A4025" w:rsidRDefault="00093393" w:rsidP="000933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</w:p>
    <w:p w14:paraId="1573CFB3" w14:textId="61394869" w:rsidR="00093393" w:rsidRPr="00D22059" w:rsidRDefault="00366537" w:rsidP="00093393">
      <w:pPr>
        <w:spacing w:after="0" w:line="240" w:lineRule="auto"/>
        <w:rPr>
          <w:rFonts w:cs="Calibri"/>
          <w:color w:val="000000" w:themeColor="text1"/>
          <w:kern w:val="0"/>
        </w:rPr>
      </w:pPr>
      <w:r w:rsidRPr="007A4025">
        <w:rPr>
          <w:rFonts w:cs="Calibri"/>
          <w:b/>
          <w:bCs/>
          <w:color w:val="000000"/>
          <w:kern w:val="0"/>
        </w:rPr>
        <w:t>DW</w:t>
      </w:r>
      <w:r w:rsidRPr="007A4025">
        <w:rPr>
          <w:rFonts w:cs="Calibri"/>
          <w:color w:val="000000"/>
          <w:kern w:val="0"/>
        </w:rPr>
        <w:t xml:space="preserve">; </w:t>
      </w:r>
      <w:r w:rsidR="008D3AF3" w:rsidRPr="007A4025">
        <w:rPr>
          <w:rFonts w:cs="Calibri"/>
          <w:color w:val="000000"/>
          <w:kern w:val="0"/>
        </w:rPr>
        <w:t>“</w:t>
      </w:r>
      <w:r w:rsidRPr="007A4025">
        <w:rPr>
          <w:rFonts w:cs="Calibri"/>
          <w:color w:val="000000"/>
          <w:kern w:val="0"/>
        </w:rPr>
        <w:t>Clinically i</w:t>
      </w:r>
      <w:r w:rsidR="008D3AF3" w:rsidRPr="007A4025">
        <w:rPr>
          <w:rFonts w:cs="Calibri"/>
          <w:color w:val="000000"/>
          <w:kern w:val="0"/>
        </w:rPr>
        <w:t>t</w:t>
      </w:r>
      <w:r w:rsidRPr="007A4025">
        <w:rPr>
          <w:rFonts w:cs="Calibri"/>
          <w:color w:val="000000"/>
          <w:kern w:val="0"/>
        </w:rPr>
        <w:t xml:space="preserve"> mea</w:t>
      </w:r>
      <w:r w:rsidR="008D3AF3" w:rsidRPr="007A4025">
        <w:rPr>
          <w:rFonts w:cs="Calibri"/>
          <w:color w:val="000000"/>
          <w:kern w:val="0"/>
        </w:rPr>
        <w:t>n</w:t>
      </w:r>
      <w:r w:rsidRPr="007A4025">
        <w:rPr>
          <w:rFonts w:cs="Calibri"/>
          <w:color w:val="000000"/>
          <w:kern w:val="0"/>
        </w:rPr>
        <w:t>s that</w:t>
      </w:r>
      <w:r w:rsidR="00093393" w:rsidRPr="007A4025">
        <w:rPr>
          <w:rFonts w:cs="Calibri"/>
          <w:color w:val="000000"/>
          <w:kern w:val="0"/>
        </w:rPr>
        <w:t xml:space="preserve"> intraoperative ticagrelor removal </w:t>
      </w:r>
      <w:r w:rsidR="00CA3A89" w:rsidRPr="007A4025">
        <w:rPr>
          <w:rFonts w:cs="Calibri"/>
          <w:color w:val="000000"/>
          <w:kern w:val="0"/>
        </w:rPr>
        <w:t xml:space="preserve">with CytoSorb </w:t>
      </w:r>
      <w:r w:rsidR="00093393" w:rsidRPr="007A4025">
        <w:rPr>
          <w:rFonts w:cs="Calibri"/>
          <w:color w:val="000000"/>
          <w:kern w:val="0"/>
        </w:rPr>
        <w:t>help</w:t>
      </w:r>
      <w:r w:rsidR="00EB5D8D" w:rsidRPr="007A4025">
        <w:rPr>
          <w:rFonts w:cs="Calibri"/>
          <w:color w:val="000000"/>
          <w:kern w:val="0"/>
        </w:rPr>
        <w:t>s</w:t>
      </w:r>
      <w:r w:rsidR="00093393" w:rsidRPr="007A4025">
        <w:rPr>
          <w:rFonts w:cs="Calibri"/>
          <w:color w:val="000000"/>
          <w:kern w:val="0"/>
        </w:rPr>
        <w:t xml:space="preserve"> reduce ticagrelor-related bleeding in patients undergoing i-CABG before completing the 3-day washout</w:t>
      </w:r>
      <w:r w:rsidR="00D22059">
        <w:rPr>
          <w:rFonts w:cs="Calibri"/>
          <w:color w:val="000000"/>
          <w:kern w:val="0"/>
        </w:rPr>
        <w:t xml:space="preserve">, </w:t>
      </w:r>
      <w:r w:rsidR="005912A7">
        <w:rPr>
          <w:rFonts w:cs="Calibri"/>
          <w:color w:val="000000"/>
          <w:kern w:val="0"/>
        </w:rPr>
        <w:t>particularly</w:t>
      </w:r>
      <w:r w:rsidR="00D22059">
        <w:rPr>
          <w:rFonts w:cs="Calibri"/>
          <w:color w:val="000000"/>
          <w:kern w:val="0"/>
        </w:rPr>
        <w:t xml:space="preserve"> </w:t>
      </w:r>
      <w:r w:rsidR="00EB5D8D" w:rsidRPr="007A4025">
        <w:rPr>
          <w:rFonts w:cs="Calibri"/>
          <w:color w:val="000000"/>
          <w:kern w:val="0"/>
        </w:rPr>
        <w:t>in the time frame</w:t>
      </w:r>
      <w:r w:rsidR="000A1402" w:rsidRPr="007A4025">
        <w:rPr>
          <w:rFonts w:cs="Calibri"/>
          <w:color w:val="000000"/>
          <w:kern w:val="0"/>
        </w:rPr>
        <w:t xml:space="preserve"> between 24 and 72 hrs. </w:t>
      </w:r>
      <w:r w:rsidR="005912A7" w:rsidRPr="005912A7">
        <w:rPr>
          <w:rFonts w:cs="Calibri"/>
          <w:color w:val="000000"/>
          <w:kern w:val="0"/>
        </w:rPr>
        <w:t xml:space="preserve">Bleeding rates are especially high among patients operated within the first 24 hours after </w:t>
      </w:r>
      <w:r w:rsidR="005912A7">
        <w:rPr>
          <w:rFonts w:cs="Calibri"/>
          <w:color w:val="000000"/>
          <w:kern w:val="0"/>
        </w:rPr>
        <w:t xml:space="preserve">the </w:t>
      </w:r>
      <w:r w:rsidR="005912A7" w:rsidRPr="005912A7">
        <w:rPr>
          <w:rFonts w:cs="Calibri"/>
          <w:color w:val="000000"/>
          <w:kern w:val="0"/>
        </w:rPr>
        <w:t>last dose of ticagrelor, partly due to the additional risk associated with their critical condition requiring emergent CABG</w:t>
      </w:r>
      <w:r w:rsidR="005912A7">
        <w:rPr>
          <w:rFonts w:cs="Calibri"/>
          <w:color w:val="000000"/>
          <w:kern w:val="0"/>
        </w:rPr>
        <w:t xml:space="preserve">. </w:t>
      </w:r>
      <w:r w:rsidR="000A1402" w:rsidRPr="007A4025">
        <w:rPr>
          <w:rFonts w:cs="Calibri"/>
          <w:color w:val="000000"/>
          <w:kern w:val="0"/>
        </w:rPr>
        <w:t xml:space="preserve">This is important information for the cardiac surgery community as it means </w:t>
      </w:r>
      <w:r w:rsidR="002433C1" w:rsidRPr="007A4025">
        <w:rPr>
          <w:rFonts w:cs="Calibri"/>
          <w:color w:val="000000"/>
          <w:kern w:val="0"/>
        </w:rPr>
        <w:t>we can improve on the current standard of care by allowing timely surgery without undue risks.</w:t>
      </w:r>
      <w:r w:rsidR="00D54826" w:rsidRPr="007A4025">
        <w:rPr>
          <w:rFonts w:cs="Calibri"/>
          <w:color w:val="000000"/>
          <w:kern w:val="0"/>
        </w:rPr>
        <w:t xml:space="preserve"> </w:t>
      </w:r>
      <w:r w:rsidR="00D54826" w:rsidRPr="00D22059">
        <w:rPr>
          <w:rFonts w:cs="Calibri"/>
          <w:color w:val="000000" w:themeColor="text1"/>
          <w:kern w:val="0"/>
        </w:rPr>
        <w:t>Finally, the STAR Registry results suggest that the guideline recommended washout period of 72 hours to prevent serious perioperative bleeding complications in patients on ticagrelor requiring i-CABG may be substantially shortened with intraoperative hemoadsorption.</w:t>
      </w:r>
      <w:r w:rsidR="008D3AF3" w:rsidRPr="00D22059">
        <w:rPr>
          <w:rFonts w:cs="Calibri"/>
          <w:color w:val="000000" w:themeColor="text1"/>
          <w:kern w:val="0"/>
        </w:rPr>
        <w:t>”</w:t>
      </w:r>
    </w:p>
    <w:p w14:paraId="4F282254" w14:textId="77777777" w:rsidR="002433C1" w:rsidRPr="007A4025" w:rsidRDefault="002433C1" w:rsidP="00093393">
      <w:pPr>
        <w:spacing w:after="0" w:line="240" w:lineRule="auto"/>
        <w:rPr>
          <w:rFonts w:cs="Calibri"/>
          <w:i/>
          <w:iCs/>
          <w:color w:val="000000"/>
          <w:kern w:val="0"/>
        </w:rPr>
      </w:pPr>
    </w:p>
    <w:p w14:paraId="61A2DF10" w14:textId="05008D77" w:rsidR="002433C1" w:rsidRPr="007A4025" w:rsidRDefault="002433C1" w:rsidP="00093393">
      <w:pPr>
        <w:spacing w:after="0" w:line="240" w:lineRule="auto"/>
        <w:rPr>
          <w:rFonts w:cs="Calibri"/>
          <w:i/>
          <w:iCs/>
          <w:color w:val="000000"/>
          <w:kern w:val="0"/>
        </w:rPr>
      </w:pPr>
      <w:r w:rsidRPr="007A4025">
        <w:rPr>
          <w:rFonts w:cs="Calibri"/>
          <w:b/>
          <w:bCs/>
          <w:i/>
          <w:iCs/>
          <w:color w:val="000000"/>
          <w:kern w:val="0"/>
        </w:rPr>
        <w:t>HA;</w:t>
      </w:r>
      <w:r w:rsidRPr="007A4025">
        <w:rPr>
          <w:rFonts w:cs="Calibri"/>
          <w:i/>
          <w:iCs/>
          <w:color w:val="000000"/>
          <w:kern w:val="0"/>
        </w:rPr>
        <w:t xml:space="preserve"> </w:t>
      </w:r>
      <w:r w:rsidR="00806EE9" w:rsidRPr="007A4025">
        <w:rPr>
          <w:rFonts w:cs="Calibri"/>
          <w:i/>
          <w:iCs/>
          <w:color w:val="000000"/>
          <w:kern w:val="0"/>
        </w:rPr>
        <w:t>“</w:t>
      </w:r>
      <w:r w:rsidRPr="007A4025">
        <w:rPr>
          <w:rFonts w:cs="Calibri"/>
          <w:i/>
          <w:iCs/>
          <w:color w:val="000000"/>
          <w:kern w:val="0"/>
        </w:rPr>
        <w:t>Thank you.</w:t>
      </w:r>
      <w:r w:rsidR="00806EE9" w:rsidRPr="007A4025">
        <w:rPr>
          <w:rFonts w:cs="Calibri"/>
          <w:i/>
          <w:iCs/>
          <w:color w:val="000000"/>
          <w:kern w:val="0"/>
        </w:rPr>
        <w:t>”</w:t>
      </w:r>
    </w:p>
    <w:p w14:paraId="7366E015" w14:textId="77777777" w:rsidR="00093393" w:rsidRDefault="00093393" w:rsidP="00093393">
      <w:pPr>
        <w:spacing w:after="0" w:line="240" w:lineRule="auto"/>
        <w:rPr>
          <w:rFonts w:cs="Calibri"/>
          <w:color w:val="000000"/>
          <w:kern w:val="0"/>
        </w:rPr>
      </w:pPr>
    </w:p>
    <w:p w14:paraId="47A9CF21" w14:textId="5F433313" w:rsidR="00FA29A7" w:rsidRPr="007A4025" w:rsidRDefault="00FA29A7" w:rsidP="00FA29A7">
      <w:pPr>
        <w:autoSpaceDE w:val="0"/>
        <w:autoSpaceDN w:val="0"/>
        <w:adjustRightInd w:val="0"/>
        <w:spacing w:after="0" w:line="240" w:lineRule="auto"/>
        <w:ind w:right="-720"/>
        <w:rPr>
          <w:rFonts w:cs="Calibri"/>
          <w:b/>
          <w:bCs/>
          <w:kern w:val="0"/>
        </w:rPr>
      </w:pPr>
      <w:r>
        <w:rPr>
          <w:rFonts w:cs="Calibri"/>
          <w:b/>
          <w:bCs/>
          <w:kern w:val="0"/>
        </w:rPr>
        <w:t>*</w:t>
      </w:r>
      <w:r w:rsidRPr="007A4025">
        <w:rPr>
          <w:rFonts w:cs="Calibri"/>
          <w:b/>
          <w:bCs/>
          <w:kern w:val="0"/>
        </w:rPr>
        <w:t>Early CABG with intraoperative hemoadsorption in patients on ticagrelor: Real world data from the international Safe and Timely Antithrombotic Removal (STAR) registry</w:t>
      </w:r>
    </w:p>
    <w:p w14:paraId="587BF5E9" w14:textId="77777777" w:rsidR="00FA29A7" w:rsidRPr="007A4025" w:rsidRDefault="00FA29A7" w:rsidP="00FA29A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</w:rPr>
      </w:pPr>
      <w:r w:rsidRPr="007A4025">
        <w:rPr>
          <w:rFonts w:cs="Calibri"/>
          <w:color w:val="000000"/>
          <w:kern w:val="0"/>
        </w:rPr>
        <w:t xml:space="preserve">Storey RF, Hassan K, Meyer AL, Eberle T, deNeve N, Thielmann M, Bernardi MH, Marczin N, Guenther U, Panholzer B, Maechler H, Hunter S, Matejic-Spasic M, Wendt D, Deliargyris EN, Schmoeckel M. </w:t>
      </w:r>
    </w:p>
    <w:p w14:paraId="2695CC14" w14:textId="77777777" w:rsidR="00FA29A7" w:rsidRPr="007A4025" w:rsidRDefault="00FA29A7" w:rsidP="00FA29A7">
      <w:pPr>
        <w:autoSpaceDE w:val="0"/>
        <w:autoSpaceDN w:val="0"/>
        <w:adjustRightInd w:val="0"/>
        <w:spacing w:after="0" w:line="240" w:lineRule="auto"/>
        <w:ind w:right="-720"/>
        <w:rPr>
          <w:rFonts w:cs="Calibri"/>
          <w:i/>
          <w:iCs/>
          <w:kern w:val="0"/>
        </w:rPr>
      </w:pPr>
      <w:r w:rsidRPr="007A4025">
        <w:rPr>
          <w:rFonts w:cs="Calibri"/>
          <w:i/>
          <w:iCs/>
          <w:kern w:val="0"/>
        </w:rPr>
        <w:t>Cardiovascular Revascularization Medicine 2025; epub</w:t>
      </w:r>
    </w:p>
    <w:p w14:paraId="734B67F5" w14:textId="77777777" w:rsidR="00FA29A7" w:rsidRPr="007A4025" w:rsidRDefault="00FA29A7" w:rsidP="00093393">
      <w:pPr>
        <w:spacing w:after="0" w:line="240" w:lineRule="auto"/>
        <w:rPr>
          <w:rFonts w:cs="Calibri"/>
          <w:color w:val="000000"/>
          <w:kern w:val="0"/>
        </w:rPr>
      </w:pPr>
    </w:p>
    <w:sectPr w:rsidR="00FA29A7" w:rsidRPr="007A4025" w:rsidSect="0009339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14DF"/>
    <w:multiLevelType w:val="hybridMultilevel"/>
    <w:tmpl w:val="A5F2B26C"/>
    <w:lvl w:ilvl="0" w:tplc="8CDA059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020C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2948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4D59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1AC54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09B6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6BBC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A556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E121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51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93"/>
    <w:rsid w:val="000743DD"/>
    <w:rsid w:val="00093393"/>
    <w:rsid w:val="000A1402"/>
    <w:rsid w:val="0011603F"/>
    <w:rsid w:val="00194A44"/>
    <w:rsid w:val="001C41E2"/>
    <w:rsid w:val="002433C1"/>
    <w:rsid w:val="0035044E"/>
    <w:rsid w:val="00366537"/>
    <w:rsid w:val="003E59C3"/>
    <w:rsid w:val="00464018"/>
    <w:rsid w:val="00483099"/>
    <w:rsid w:val="004E5D43"/>
    <w:rsid w:val="004F0E6C"/>
    <w:rsid w:val="005912A7"/>
    <w:rsid w:val="005C4E30"/>
    <w:rsid w:val="00623899"/>
    <w:rsid w:val="006F1674"/>
    <w:rsid w:val="007A4025"/>
    <w:rsid w:val="0080450E"/>
    <w:rsid w:val="00806EE9"/>
    <w:rsid w:val="008D3AF3"/>
    <w:rsid w:val="00930947"/>
    <w:rsid w:val="00A81EB7"/>
    <w:rsid w:val="00AE7DEC"/>
    <w:rsid w:val="00AF35AE"/>
    <w:rsid w:val="00AF7429"/>
    <w:rsid w:val="00B04529"/>
    <w:rsid w:val="00B825CB"/>
    <w:rsid w:val="00BB6281"/>
    <w:rsid w:val="00CA3A89"/>
    <w:rsid w:val="00D22059"/>
    <w:rsid w:val="00D54826"/>
    <w:rsid w:val="00D9644B"/>
    <w:rsid w:val="00DA0E7F"/>
    <w:rsid w:val="00EB5D8D"/>
    <w:rsid w:val="00FA29A7"/>
    <w:rsid w:val="00FC7F08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25292B"/>
  <w15:chartTrackingRefBased/>
  <w15:docId w15:val="{19C9B618-EFBC-0A4F-9E51-D96808FF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3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0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0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6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Adamson</dc:creator>
  <cp:keywords/>
  <dc:description/>
  <cp:lastModifiedBy>Kenya Correia Dias Pinheiro dos San</cp:lastModifiedBy>
  <cp:revision>2</cp:revision>
  <dcterms:created xsi:type="dcterms:W3CDTF">2025-04-09T15:21:00Z</dcterms:created>
  <dcterms:modified xsi:type="dcterms:W3CDTF">2025-04-09T15:21:00Z</dcterms:modified>
</cp:coreProperties>
</file>