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0109" w14:textId="77777777" w:rsidR="00F42C88" w:rsidRPr="00375077" w:rsidRDefault="00F42C88" w:rsidP="00F42C88">
      <w:pPr>
        <w:spacing w:before="100" w:beforeAutospacing="1" w:after="100" w:afterAutospacing="1" w:line="240" w:lineRule="auto"/>
        <w:outlineLvl w:val="0"/>
        <w:rPr>
          <w:rFonts w:eastAsia="Times New Roman" w:cs="Times New Roman"/>
          <w:b/>
          <w:bCs/>
          <w:kern w:val="36"/>
          <w:sz w:val="28"/>
          <w:szCs w:val="28"/>
          <w:lang w:val="en-US" w:eastAsia="en-GB"/>
          <w14:ligatures w14:val="none"/>
        </w:rPr>
      </w:pPr>
      <w:r w:rsidRPr="00375077">
        <w:rPr>
          <w:rFonts w:eastAsia="Times New Roman" w:cs="Times New Roman"/>
          <w:b/>
          <w:bCs/>
          <w:kern w:val="36"/>
          <w:sz w:val="28"/>
          <w:szCs w:val="28"/>
          <w:lang w:val="en-US" w:eastAsia="en-GB"/>
          <w14:ligatures w14:val="none"/>
        </w:rPr>
        <w:t xml:space="preserve">Early and Intensive </w:t>
      </w:r>
      <w:proofErr w:type="spellStart"/>
      <w:r w:rsidRPr="00375077">
        <w:rPr>
          <w:rFonts w:eastAsia="Times New Roman" w:cs="Times New Roman"/>
          <w:b/>
          <w:bCs/>
          <w:kern w:val="36"/>
          <w:sz w:val="28"/>
          <w:szCs w:val="28"/>
          <w:lang w:val="en-US" w:eastAsia="en-GB"/>
          <w14:ligatures w14:val="none"/>
        </w:rPr>
        <w:t>Hemoadsorption</w:t>
      </w:r>
      <w:proofErr w:type="spellEnd"/>
      <w:r w:rsidRPr="00375077">
        <w:rPr>
          <w:rFonts w:eastAsia="Times New Roman" w:cs="Times New Roman"/>
          <w:b/>
          <w:bCs/>
          <w:kern w:val="36"/>
          <w:sz w:val="28"/>
          <w:szCs w:val="28"/>
          <w:lang w:val="en-US" w:eastAsia="en-GB"/>
          <w14:ligatures w14:val="none"/>
        </w:rPr>
        <w:t xml:space="preserve"> in Septic Shock: Real-World Insights from a Single-Center Study</w:t>
      </w:r>
    </w:p>
    <w:p w14:paraId="225192CF" w14:textId="7777777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 xml:space="preserve">Understanding the Role of </w:t>
      </w:r>
      <w:proofErr w:type="spellStart"/>
      <w:r w:rsidRPr="00375077">
        <w:rPr>
          <w:rFonts w:eastAsia="Times New Roman" w:cs="Times New Roman"/>
          <w:b/>
          <w:bCs/>
          <w:kern w:val="0"/>
          <w:lang w:val="en-US" w:eastAsia="en-GB"/>
          <w14:ligatures w14:val="none"/>
        </w:rPr>
        <w:t>CytoSorb</w:t>
      </w:r>
      <w:proofErr w:type="spellEnd"/>
      <w:r w:rsidRPr="00375077">
        <w:rPr>
          <w:rFonts w:eastAsia="Times New Roman" w:cs="Times New Roman"/>
          <w:b/>
          <w:bCs/>
          <w:kern w:val="0"/>
          <w:lang w:val="en-US" w:eastAsia="en-GB"/>
          <w14:ligatures w14:val="none"/>
        </w:rPr>
        <w:t>® in Critical Care</w:t>
      </w:r>
    </w:p>
    <w:p w14:paraId="2E79CF30" w14:textId="043D3735"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Septic shock continues to pose a major challenge in intensive care medicine, with high mortality rates despite advances in supportive therapy. Against this backdrop, a recent retrospective study offers important insights into the clinical use of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xml:space="preserve"> </w:t>
      </w:r>
      <w:proofErr w:type="spellStart"/>
      <w:r w:rsidRPr="00375077">
        <w:rPr>
          <w:rFonts w:eastAsia="Times New Roman" w:cs="Times New Roman"/>
          <w:kern w:val="0"/>
          <w:lang w:val="en-US" w:eastAsia="en-GB"/>
          <w14:ligatures w14:val="none"/>
        </w:rPr>
        <w:t>hemoadsorption</w:t>
      </w:r>
      <w:proofErr w:type="spellEnd"/>
      <w:r w:rsidRPr="00375077">
        <w:rPr>
          <w:rFonts w:eastAsia="Times New Roman" w:cs="Times New Roman"/>
          <w:kern w:val="0"/>
          <w:lang w:val="en-US" w:eastAsia="en-GB"/>
          <w14:ligatures w14:val="none"/>
        </w:rPr>
        <w:t xml:space="preserve"> in patients with septic shock.</w:t>
      </w:r>
    </w:p>
    <w:p w14:paraId="482A3372" w14:textId="3B7B8EDF"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This large, single-center study—conducted over seven years (2016–2023)—reviewed outcomes in 175 </w:t>
      </w:r>
      <w:r w:rsidR="007F7151" w:rsidRPr="00375077">
        <w:rPr>
          <w:rFonts w:eastAsia="Times New Roman" w:cs="Times New Roman"/>
          <w:kern w:val="0"/>
          <w:lang w:val="en-US" w:eastAsia="en-GB"/>
          <w14:ligatures w14:val="none"/>
        </w:rPr>
        <w:t>septic shock</w:t>
      </w:r>
      <w:r w:rsidRPr="00375077">
        <w:rPr>
          <w:rFonts w:eastAsia="Times New Roman" w:cs="Times New Roman"/>
          <w:kern w:val="0"/>
          <w:lang w:val="en-US" w:eastAsia="en-GB"/>
          <w14:ligatures w14:val="none"/>
        </w:rPr>
        <w:t xml:space="preserve"> patients treated with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It represents the most extensive dataset from a single center to date, offering a real-world look at how timing and intensity of treatment can influence survival.</w:t>
      </w:r>
    </w:p>
    <w:p w14:paraId="160482D8" w14:textId="7777777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Study Design and Patient Groups</w:t>
      </w:r>
    </w:p>
    <w:p w14:paraId="461C578F"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The goal of the study was twofold:</w:t>
      </w:r>
    </w:p>
    <w:p w14:paraId="4857E08A" w14:textId="0E24D7B5" w:rsidR="00F42C88" w:rsidRPr="00375077" w:rsidRDefault="00F42C88" w:rsidP="00F42C88">
      <w:pPr>
        <w:numPr>
          <w:ilvl w:val="0"/>
          <w:numId w:val="1"/>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To examine clinical outcomes associated with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xml:space="preserve"> use in septic shock.</w:t>
      </w:r>
    </w:p>
    <w:p w14:paraId="6E4DF4EF" w14:textId="77777777" w:rsidR="00F42C88" w:rsidRPr="00375077" w:rsidRDefault="00F42C88" w:rsidP="00F42C88">
      <w:pPr>
        <w:numPr>
          <w:ilvl w:val="0"/>
          <w:numId w:val="1"/>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To assess the impact of treatment timing and dosing on patient mortality.</w:t>
      </w:r>
    </w:p>
    <w:p w14:paraId="3FBA56C1"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Patients were categorized into four main groups:</w:t>
      </w:r>
    </w:p>
    <w:p w14:paraId="6A9F1389"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Early Starters:</w:t>
      </w:r>
      <w:r w:rsidRPr="00375077">
        <w:rPr>
          <w:rFonts w:eastAsia="Times New Roman" w:cs="Times New Roman"/>
          <w:kern w:val="0"/>
          <w:lang w:val="en-US" w:eastAsia="en-GB"/>
          <w14:ligatures w14:val="none"/>
        </w:rPr>
        <w:t xml:space="preserve">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xml:space="preserve"> initiated within 24 hours of septic shock onset.</w:t>
      </w:r>
    </w:p>
    <w:p w14:paraId="73BD5E69"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Late Starters:</w:t>
      </w:r>
      <w:r w:rsidRPr="00375077">
        <w:rPr>
          <w:rFonts w:eastAsia="Times New Roman" w:cs="Times New Roman"/>
          <w:kern w:val="0"/>
          <w:lang w:val="en-US" w:eastAsia="en-GB"/>
          <w14:ligatures w14:val="none"/>
        </w:rPr>
        <w:t xml:space="preserve"> Initiation between 25 and 48 hours after shock onset.</w:t>
      </w:r>
    </w:p>
    <w:p w14:paraId="42DBD4B6"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High-Intensity Treatment:</w:t>
      </w:r>
      <w:r w:rsidRPr="00375077">
        <w:rPr>
          <w:rFonts w:eastAsia="Times New Roman" w:cs="Times New Roman"/>
          <w:kern w:val="0"/>
          <w:lang w:val="en-US" w:eastAsia="en-GB"/>
          <w14:ligatures w14:val="none"/>
        </w:rPr>
        <w:t xml:space="preserve"> Patients who received three or more adsorbers.</w:t>
      </w:r>
    </w:p>
    <w:p w14:paraId="067C199F" w14:textId="77777777" w:rsidR="00F42C88" w:rsidRPr="00375077" w:rsidRDefault="00F42C88" w:rsidP="00F42C88">
      <w:pPr>
        <w:numPr>
          <w:ilvl w:val="0"/>
          <w:numId w:val="2"/>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Low-Intensity Treatment:</w:t>
      </w:r>
      <w:r w:rsidRPr="00375077">
        <w:rPr>
          <w:rFonts w:eastAsia="Times New Roman" w:cs="Times New Roman"/>
          <w:kern w:val="0"/>
          <w:lang w:val="en-US" w:eastAsia="en-GB"/>
          <w14:ligatures w14:val="none"/>
        </w:rPr>
        <w:t xml:space="preserve"> Those treated with one or two adsorbers.</w:t>
      </w:r>
    </w:p>
    <w:p w14:paraId="3EAE9453" w14:textId="45BC597F"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In addition to these groupings, the researchers also calculated the </w:t>
      </w:r>
      <w:r w:rsidRPr="00375077">
        <w:rPr>
          <w:rFonts w:eastAsia="Times New Roman" w:cs="Times New Roman"/>
          <w:b/>
          <w:bCs/>
          <w:kern w:val="0"/>
          <w:lang w:val="en-US" w:eastAsia="en-GB"/>
          <w14:ligatures w14:val="none"/>
        </w:rPr>
        <w:t>Amount of Blood Purified (ABP)</w:t>
      </w:r>
      <w:r w:rsidRPr="00375077">
        <w:rPr>
          <w:rFonts w:eastAsia="Times New Roman" w:cs="Times New Roman"/>
          <w:kern w:val="0"/>
          <w:lang w:val="en-US" w:eastAsia="en-GB"/>
          <w14:ligatures w14:val="none"/>
        </w:rPr>
        <w:t xml:space="preserve"> for each patient, providing a measure of total treatment dose.</w:t>
      </w:r>
    </w:p>
    <w:p w14:paraId="4A7D1B67" w14:textId="7777777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Key Findings</w:t>
      </w:r>
    </w:p>
    <w:p w14:paraId="3C9123CC"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1. Survival Benefit Compared to Expected Mortality</w:t>
      </w:r>
    </w:p>
    <w:p w14:paraId="271719BC" w14:textId="6C9CDE8B"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Despite the high-risk nature of the cohort, the observed </w:t>
      </w:r>
      <w:r w:rsidRPr="00375077">
        <w:rPr>
          <w:rFonts w:eastAsia="Times New Roman" w:cs="Times New Roman"/>
          <w:b/>
          <w:bCs/>
          <w:kern w:val="0"/>
          <w:lang w:val="en-US" w:eastAsia="en-GB"/>
          <w14:ligatures w14:val="none"/>
        </w:rPr>
        <w:t xml:space="preserve">ICU mortality rate was 49%, </w:t>
      </w:r>
      <w:r w:rsidR="007F7151" w:rsidRPr="00375077">
        <w:rPr>
          <w:rFonts w:eastAsia="Times New Roman" w:cs="Times New Roman"/>
          <w:b/>
          <w:bCs/>
          <w:kern w:val="0"/>
          <w:lang w:val="en-US" w:eastAsia="en-GB"/>
          <w14:ligatures w14:val="none"/>
        </w:rPr>
        <w:t>significant</w:t>
      </w:r>
      <w:r w:rsidRPr="00375077">
        <w:rPr>
          <w:rFonts w:eastAsia="Times New Roman" w:cs="Times New Roman"/>
          <w:b/>
          <w:bCs/>
          <w:kern w:val="0"/>
          <w:lang w:val="en-US" w:eastAsia="en-GB"/>
          <w14:ligatures w14:val="none"/>
        </w:rPr>
        <w:t>ly lower than the 66% predicted by the SAPS score.</w:t>
      </w:r>
      <w:r w:rsidRPr="00375077">
        <w:rPr>
          <w:rFonts w:eastAsia="Times New Roman" w:cs="Times New Roman"/>
          <w:kern w:val="0"/>
          <w:lang w:val="en-US" w:eastAsia="en-GB"/>
          <w14:ligatures w14:val="none"/>
        </w:rPr>
        <w:t xml:space="preserve"> This suggests a positive association between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xml:space="preserve"> </w:t>
      </w:r>
      <w:r w:rsidR="00440407" w:rsidRPr="00375077">
        <w:rPr>
          <w:rFonts w:eastAsia="Times New Roman" w:cs="Times New Roman"/>
          <w:kern w:val="0"/>
          <w:lang w:val="en-US" w:eastAsia="en-GB"/>
          <w14:ligatures w14:val="none"/>
        </w:rPr>
        <w:t>T</w:t>
      </w:r>
      <w:r w:rsidRPr="00375077">
        <w:rPr>
          <w:rFonts w:eastAsia="Times New Roman" w:cs="Times New Roman"/>
          <w:kern w:val="0"/>
          <w:lang w:val="en-US" w:eastAsia="en-GB"/>
          <w14:ligatures w14:val="none"/>
        </w:rPr>
        <w:t>herapy and patient outcome.</w:t>
      </w:r>
    </w:p>
    <w:p w14:paraId="3C4305DB"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2. Timing and Intensity Matter—Especially Together</w:t>
      </w:r>
    </w:p>
    <w:p w14:paraId="7244841D" w14:textId="196FF4A2"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Patients who began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xml:space="preserve"> treatment early </w:t>
      </w:r>
      <w:r w:rsidRPr="00375077">
        <w:rPr>
          <w:rFonts w:eastAsia="Times New Roman" w:cs="Times New Roman"/>
          <w:b/>
          <w:bCs/>
          <w:kern w:val="0"/>
          <w:lang w:val="en-US" w:eastAsia="en-GB"/>
          <w14:ligatures w14:val="none"/>
        </w:rPr>
        <w:t>and</w:t>
      </w:r>
      <w:r w:rsidRPr="00375077">
        <w:rPr>
          <w:rFonts w:eastAsia="Times New Roman" w:cs="Times New Roman"/>
          <w:kern w:val="0"/>
          <w:lang w:val="en-US" w:eastAsia="en-GB"/>
          <w14:ligatures w14:val="none"/>
        </w:rPr>
        <w:t xml:space="preserve"> received high-intensity therapy (≥3 adsorbers) had a particularly favorable outcome:</w:t>
      </w:r>
    </w:p>
    <w:p w14:paraId="498D3968" w14:textId="77777777" w:rsidR="00F42C88" w:rsidRPr="00375077" w:rsidRDefault="00F42C88" w:rsidP="00F42C88">
      <w:pPr>
        <w:numPr>
          <w:ilvl w:val="0"/>
          <w:numId w:val="3"/>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Their observed ICU mortality was </w:t>
      </w:r>
      <w:r w:rsidRPr="00375077">
        <w:rPr>
          <w:rFonts w:eastAsia="Times New Roman" w:cs="Times New Roman"/>
          <w:b/>
          <w:bCs/>
          <w:kern w:val="0"/>
          <w:lang w:val="en-US" w:eastAsia="en-GB"/>
          <w14:ligatures w14:val="none"/>
        </w:rPr>
        <w:t>30%</w:t>
      </w:r>
      <w:r w:rsidRPr="00375077">
        <w:rPr>
          <w:rFonts w:eastAsia="Times New Roman" w:cs="Times New Roman"/>
          <w:kern w:val="0"/>
          <w:lang w:val="en-US" w:eastAsia="en-GB"/>
          <w14:ligatures w14:val="none"/>
        </w:rPr>
        <w:t xml:space="preserve">, compared to an expected </w:t>
      </w:r>
      <w:r w:rsidRPr="00375077">
        <w:rPr>
          <w:rFonts w:eastAsia="Times New Roman" w:cs="Times New Roman"/>
          <w:b/>
          <w:bCs/>
          <w:kern w:val="0"/>
          <w:lang w:val="en-US" w:eastAsia="en-GB"/>
          <w14:ligatures w14:val="none"/>
        </w:rPr>
        <w:t>63%</w:t>
      </w:r>
      <w:r w:rsidRPr="00375077">
        <w:rPr>
          <w:rFonts w:eastAsia="Times New Roman" w:cs="Times New Roman"/>
          <w:kern w:val="0"/>
          <w:lang w:val="en-US" w:eastAsia="en-GB"/>
          <w14:ligatures w14:val="none"/>
        </w:rPr>
        <w:t>.</w:t>
      </w:r>
    </w:p>
    <w:p w14:paraId="49E021C6" w14:textId="60E5270E" w:rsidR="00F42C88" w:rsidRPr="00375077" w:rsidRDefault="00F42C88" w:rsidP="00F42C88">
      <w:pPr>
        <w:numPr>
          <w:ilvl w:val="0"/>
          <w:numId w:val="3"/>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lastRenderedPageBreak/>
        <w:t xml:space="preserve">They also showed </w:t>
      </w:r>
      <w:r w:rsidR="007F7151" w:rsidRPr="00375077">
        <w:rPr>
          <w:rFonts w:eastAsia="Times New Roman" w:cs="Times New Roman"/>
          <w:kern w:val="0"/>
          <w:lang w:val="en-US" w:eastAsia="en-GB"/>
          <w14:ligatures w14:val="none"/>
        </w:rPr>
        <w:t>improved</w:t>
      </w:r>
      <w:r w:rsidRPr="00375077">
        <w:rPr>
          <w:rFonts w:eastAsia="Times New Roman" w:cs="Times New Roman"/>
          <w:kern w:val="0"/>
          <w:lang w:val="en-US" w:eastAsia="en-GB"/>
          <w14:ligatures w14:val="none"/>
        </w:rPr>
        <w:t xml:space="preserve"> clinical parameters at the end of </w:t>
      </w:r>
      <w:proofErr w:type="spellStart"/>
      <w:r w:rsidR="007F7151" w:rsidRPr="00375077">
        <w:rPr>
          <w:rFonts w:eastAsia="Times New Roman" w:cs="Times New Roman"/>
          <w:kern w:val="0"/>
          <w:lang w:val="en-US" w:eastAsia="en-GB"/>
          <w14:ligatures w14:val="none"/>
        </w:rPr>
        <w:t>CytoSorb</w:t>
      </w:r>
      <w:proofErr w:type="spellEnd"/>
      <w:r w:rsidR="007F7151" w:rsidRPr="00375077">
        <w:rPr>
          <w:rFonts w:eastAsia="Times New Roman" w:cs="Times New Roman"/>
          <w:kern w:val="0"/>
          <w:lang w:val="en-US" w:eastAsia="en-GB"/>
          <w14:ligatures w14:val="none"/>
        </w:rPr>
        <w:t xml:space="preserve"> </w:t>
      </w:r>
      <w:r w:rsidR="00440407" w:rsidRPr="00375077">
        <w:rPr>
          <w:rFonts w:eastAsia="Times New Roman" w:cs="Times New Roman"/>
          <w:kern w:val="0"/>
          <w:lang w:val="en-US" w:eastAsia="en-GB"/>
          <w14:ligatures w14:val="none"/>
        </w:rPr>
        <w:t>T</w:t>
      </w:r>
      <w:r w:rsidRPr="00375077">
        <w:rPr>
          <w:rFonts w:eastAsia="Times New Roman" w:cs="Times New Roman"/>
          <w:kern w:val="0"/>
          <w:lang w:val="en-US" w:eastAsia="en-GB"/>
          <w14:ligatures w14:val="none"/>
        </w:rPr>
        <w:t>herapy: lower lactate levels, higher mean arterial pressure (MAP), and reduced need for vasopressors.</w:t>
      </w:r>
    </w:p>
    <w:p w14:paraId="367C7E59" w14:textId="2E317A99"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This highlights a clear trend: earlier and more intensive </w:t>
      </w:r>
      <w:proofErr w:type="spellStart"/>
      <w:r w:rsidR="007F7151" w:rsidRPr="00375077">
        <w:rPr>
          <w:rFonts w:eastAsia="Times New Roman" w:cs="Times New Roman"/>
          <w:kern w:val="0"/>
          <w:lang w:val="en-US" w:eastAsia="en-GB"/>
          <w14:ligatures w14:val="none"/>
        </w:rPr>
        <w:t>hemoadsorption</w:t>
      </w:r>
      <w:proofErr w:type="spellEnd"/>
      <w:r w:rsidR="007F7151" w:rsidRPr="00375077">
        <w:rPr>
          <w:rFonts w:eastAsia="Times New Roman" w:cs="Times New Roman"/>
          <w:kern w:val="0"/>
          <w:lang w:val="en-US" w:eastAsia="en-GB"/>
          <w14:ligatures w14:val="none"/>
        </w:rPr>
        <w:t xml:space="preserve"> </w:t>
      </w:r>
      <w:r w:rsidRPr="00375077">
        <w:rPr>
          <w:rFonts w:eastAsia="Times New Roman" w:cs="Times New Roman"/>
          <w:kern w:val="0"/>
          <w:lang w:val="en-US" w:eastAsia="en-GB"/>
          <w14:ligatures w14:val="none"/>
        </w:rPr>
        <w:t xml:space="preserve">treatment may be linked to </w:t>
      </w:r>
      <w:r w:rsidR="007F7151" w:rsidRPr="00375077">
        <w:rPr>
          <w:rFonts w:eastAsia="Times New Roman" w:cs="Times New Roman"/>
          <w:kern w:val="0"/>
          <w:lang w:val="en-US" w:eastAsia="en-GB"/>
          <w14:ligatures w14:val="none"/>
        </w:rPr>
        <w:t xml:space="preserve">more pronounced clinical improvement and, ultimately, </w:t>
      </w:r>
      <w:r w:rsidRPr="00375077">
        <w:rPr>
          <w:rFonts w:eastAsia="Times New Roman" w:cs="Times New Roman"/>
          <w:kern w:val="0"/>
          <w:lang w:val="en-US" w:eastAsia="en-GB"/>
          <w14:ligatures w14:val="none"/>
        </w:rPr>
        <w:t>better survival.</w:t>
      </w:r>
    </w:p>
    <w:p w14:paraId="6107F8DE"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3. Dose-Response Relationship</w:t>
      </w:r>
    </w:p>
    <w:p w14:paraId="09E34301" w14:textId="3A7860A6"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One of the standout observations was a </w:t>
      </w:r>
      <w:r w:rsidRPr="00375077">
        <w:rPr>
          <w:rFonts w:eastAsia="Times New Roman" w:cs="Times New Roman"/>
          <w:b/>
          <w:bCs/>
          <w:kern w:val="0"/>
          <w:lang w:val="en-US" w:eastAsia="en-GB"/>
          <w14:ligatures w14:val="none"/>
        </w:rPr>
        <w:t>dose-dependent survival effect</w:t>
      </w:r>
      <w:r w:rsidRPr="00375077">
        <w:rPr>
          <w:rFonts w:eastAsia="Times New Roman" w:cs="Times New Roman"/>
          <w:kern w:val="0"/>
          <w:lang w:val="en-US" w:eastAsia="en-GB"/>
          <w14:ligatures w14:val="none"/>
        </w:rPr>
        <w:t xml:space="preserve">. As the total volume of purified blood increased (measured by </w:t>
      </w:r>
      <w:r w:rsidR="007F7151" w:rsidRPr="00375077">
        <w:rPr>
          <w:rFonts w:eastAsia="Times New Roman" w:cs="Times New Roman"/>
          <w:kern w:val="0"/>
          <w:lang w:val="en-US" w:eastAsia="en-GB"/>
          <w14:ligatures w14:val="none"/>
        </w:rPr>
        <w:t>treatment time and blood flow rate</w:t>
      </w:r>
      <w:r w:rsidRPr="00375077">
        <w:rPr>
          <w:rFonts w:eastAsia="Times New Roman" w:cs="Times New Roman"/>
          <w:kern w:val="0"/>
          <w:lang w:val="en-US" w:eastAsia="en-GB"/>
          <w14:ligatures w14:val="none"/>
        </w:rPr>
        <w:t xml:space="preserve">), mortality rates decreased. This supports the idea of a </w:t>
      </w:r>
      <w:r w:rsidRPr="00375077">
        <w:rPr>
          <w:rFonts w:eastAsia="Times New Roman" w:cs="Times New Roman"/>
          <w:b/>
          <w:bCs/>
          <w:kern w:val="0"/>
          <w:lang w:val="en-US" w:eastAsia="en-GB"/>
          <w14:ligatures w14:val="none"/>
        </w:rPr>
        <w:t>dose-effect relationship</w:t>
      </w:r>
      <w:r w:rsidRPr="00375077">
        <w:rPr>
          <w:rFonts w:eastAsia="Times New Roman" w:cs="Times New Roman"/>
          <w:kern w:val="0"/>
          <w:lang w:val="en-US" w:eastAsia="en-GB"/>
          <w14:ligatures w14:val="none"/>
        </w:rPr>
        <w:t xml:space="preserve"> </w:t>
      </w:r>
      <w:r w:rsidR="00DA15BC">
        <w:rPr>
          <w:rFonts w:eastAsia="Times New Roman" w:cs="Times New Roman"/>
          <w:kern w:val="0"/>
          <w:lang w:val="en-US" w:eastAsia="en-GB"/>
          <w14:ligatures w14:val="none"/>
        </w:rPr>
        <w:t>with</w:t>
      </w:r>
      <w:r w:rsidRPr="00375077">
        <w:rPr>
          <w:rFonts w:eastAsia="Times New Roman" w:cs="Times New Roman"/>
          <w:kern w:val="0"/>
          <w:lang w:val="en-US" w:eastAsia="en-GB"/>
          <w14:ligatures w14:val="none"/>
        </w:rPr>
        <w:t xml:space="preserve">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xml:space="preserve"> </w:t>
      </w:r>
      <w:r w:rsidR="00440407" w:rsidRPr="00375077">
        <w:rPr>
          <w:rFonts w:eastAsia="Times New Roman" w:cs="Times New Roman"/>
          <w:kern w:val="0"/>
          <w:lang w:val="en-US" w:eastAsia="en-GB"/>
          <w14:ligatures w14:val="none"/>
        </w:rPr>
        <w:t>T</w:t>
      </w:r>
      <w:r w:rsidRPr="00375077">
        <w:rPr>
          <w:rFonts w:eastAsia="Times New Roman" w:cs="Times New Roman"/>
          <w:kern w:val="0"/>
          <w:lang w:val="en-US" w:eastAsia="en-GB"/>
          <w14:ligatures w14:val="none"/>
        </w:rPr>
        <w:t>herapy—an important consideration for treatment planning.</w:t>
      </w:r>
    </w:p>
    <w:p w14:paraId="6E8E357B" w14:textId="77777777" w:rsidR="00F42C88" w:rsidRPr="00375077" w:rsidRDefault="00F42C88" w:rsidP="00F42C88">
      <w:pPr>
        <w:spacing w:before="100" w:beforeAutospacing="1" w:after="100" w:afterAutospacing="1" w:line="240" w:lineRule="auto"/>
        <w:outlineLvl w:val="2"/>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4. Timing Remains Relevant</w:t>
      </w:r>
    </w:p>
    <w:p w14:paraId="1E4D5B88" w14:textId="18BD20E3" w:rsidR="00DA15BC" w:rsidRDefault="00F42C88" w:rsidP="00DA15BC">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While treatment intensity had the stronger influence, early initiation still played a meaningful role. The study suggests that the relatively short delay to </w:t>
      </w:r>
      <w:proofErr w:type="spellStart"/>
      <w:r w:rsidR="007F7151" w:rsidRPr="00375077">
        <w:rPr>
          <w:rFonts w:eastAsia="Times New Roman" w:cs="Times New Roman"/>
          <w:kern w:val="0"/>
          <w:lang w:val="en-US" w:eastAsia="en-GB"/>
          <w14:ligatures w14:val="none"/>
        </w:rPr>
        <w:t>CytoSorb</w:t>
      </w:r>
      <w:proofErr w:type="spellEnd"/>
      <w:r w:rsidR="007F7151" w:rsidRPr="00375077">
        <w:rPr>
          <w:rFonts w:eastAsia="Times New Roman" w:cs="Times New Roman"/>
          <w:kern w:val="0"/>
          <w:lang w:val="en-US" w:eastAsia="en-GB"/>
          <w14:ligatures w14:val="none"/>
        </w:rPr>
        <w:t xml:space="preserve"> </w:t>
      </w:r>
      <w:r w:rsidRPr="00375077">
        <w:rPr>
          <w:rFonts w:eastAsia="Times New Roman" w:cs="Times New Roman"/>
          <w:kern w:val="0"/>
          <w:lang w:val="en-US" w:eastAsia="en-GB"/>
          <w14:ligatures w14:val="none"/>
        </w:rPr>
        <w:t xml:space="preserve">treatment </w:t>
      </w:r>
      <w:r w:rsidR="007F7151" w:rsidRPr="00375077">
        <w:rPr>
          <w:rFonts w:eastAsia="Times New Roman" w:cs="Times New Roman"/>
          <w:kern w:val="0"/>
          <w:lang w:val="en-US" w:eastAsia="en-GB"/>
          <w14:ligatures w14:val="none"/>
        </w:rPr>
        <w:t>start</w:t>
      </w:r>
      <w:r w:rsidRPr="00375077">
        <w:rPr>
          <w:rFonts w:eastAsia="Times New Roman" w:cs="Times New Roman"/>
          <w:kern w:val="0"/>
          <w:lang w:val="en-US" w:eastAsia="en-GB"/>
          <w14:ligatures w14:val="none"/>
        </w:rPr>
        <w:t xml:space="preserve"> </w:t>
      </w:r>
      <w:r w:rsidR="000802AA" w:rsidRPr="00375077">
        <w:rPr>
          <w:rFonts w:eastAsia="Times New Roman" w:cs="Times New Roman"/>
          <w:kern w:val="0"/>
          <w:lang w:val="en-US" w:eastAsia="en-GB"/>
          <w14:ligatures w14:val="none"/>
        </w:rPr>
        <w:t xml:space="preserve">of </w:t>
      </w:r>
      <w:r w:rsidR="00DA15BC">
        <w:rPr>
          <w:rFonts w:eastAsia="Times New Roman" w:cs="Times New Roman"/>
          <w:kern w:val="0"/>
          <w:lang w:val="en-US" w:eastAsia="en-GB"/>
          <w14:ligatures w14:val="none"/>
        </w:rPr>
        <w:t xml:space="preserve">a </w:t>
      </w:r>
      <w:r w:rsidR="000802AA" w:rsidRPr="00375077">
        <w:rPr>
          <w:rFonts w:eastAsia="Times New Roman" w:cs="Times New Roman"/>
          <w:kern w:val="0"/>
          <w:lang w:val="en-US" w:eastAsia="en-GB"/>
          <w14:ligatures w14:val="none"/>
        </w:rPr>
        <w:t xml:space="preserve">maximum </w:t>
      </w:r>
      <w:r w:rsidR="00DA15BC">
        <w:rPr>
          <w:rFonts w:eastAsia="Times New Roman" w:cs="Times New Roman"/>
          <w:kern w:val="0"/>
          <w:lang w:val="en-US" w:eastAsia="en-GB"/>
          <w14:ligatures w14:val="none"/>
        </w:rPr>
        <w:t xml:space="preserve">of </w:t>
      </w:r>
      <w:r w:rsidR="000802AA" w:rsidRPr="00375077">
        <w:rPr>
          <w:rFonts w:eastAsia="Times New Roman" w:cs="Times New Roman"/>
          <w:kern w:val="0"/>
          <w:lang w:val="en-US" w:eastAsia="en-GB"/>
          <w14:ligatures w14:val="none"/>
        </w:rPr>
        <w:t xml:space="preserve">48 hours </w:t>
      </w:r>
      <w:r w:rsidRPr="00375077">
        <w:rPr>
          <w:rFonts w:eastAsia="Times New Roman" w:cs="Times New Roman"/>
          <w:kern w:val="0"/>
          <w:lang w:val="en-US" w:eastAsia="en-GB"/>
          <w14:ligatures w14:val="none"/>
        </w:rPr>
        <w:t xml:space="preserve">may have limited the observable differences in timing alone. Nevertheless, combining </w:t>
      </w:r>
      <w:r w:rsidRPr="00375077">
        <w:rPr>
          <w:rFonts w:eastAsia="Times New Roman" w:cs="Times New Roman"/>
          <w:b/>
          <w:bCs/>
          <w:kern w:val="0"/>
          <w:lang w:val="en-US" w:eastAsia="en-GB"/>
          <w14:ligatures w14:val="none"/>
        </w:rPr>
        <w:t>early start with high intensity</w:t>
      </w:r>
      <w:r w:rsidRPr="00375077">
        <w:rPr>
          <w:rFonts w:eastAsia="Times New Roman" w:cs="Times New Roman"/>
          <w:kern w:val="0"/>
          <w:lang w:val="en-US" w:eastAsia="en-GB"/>
          <w14:ligatures w14:val="none"/>
        </w:rPr>
        <w:t xml:space="preserve"> yielded the most notable survival benefit.</w:t>
      </w:r>
    </w:p>
    <w:p w14:paraId="15C4029A" w14:textId="77777777" w:rsidR="00DA15BC" w:rsidRPr="00DA15BC" w:rsidRDefault="00DA15BC" w:rsidP="00DA15BC">
      <w:pPr>
        <w:spacing w:before="100" w:beforeAutospacing="1" w:after="100" w:afterAutospacing="1" w:line="240" w:lineRule="auto"/>
        <w:rPr>
          <w:rFonts w:eastAsia="Times New Roman" w:cs="Times New Roman"/>
          <w:kern w:val="0"/>
          <w:lang w:val="en-US" w:eastAsia="en-GB"/>
          <w14:ligatures w14:val="none"/>
        </w:rPr>
      </w:pPr>
    </w:p>
    <w:p w14:paraId="36CC945F" w14:textId="52AEFDD9"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Clinical Parameters and Observations</w:t>
      </w:r>
    </w:p>
    <w:p w14:paraId="6164D81A"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Survivors, compared to non-survivors, showed improvements in key clinical indicators:</w:t>
      </w:r>
    </w:p>
    <w:p w14:paraId="74C3443E"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MAP</w:t>
      </w:r>
      <w:r w:rsidRPr="00375077">
        <w:rPr>
          <w:rFonts w:eastAsia="Times New Roman" w:cs="Times New Roman"/>
          <w:kern w:val="0"/>
          <w:lang w:val="en-US" w:eastAsia="en-GB"/>
          <w14:ligatures w14:val="none"/>
        </w:rPr>
        <w:t xml:space="preserve"> increased during treatment.</w:t>
      </w:r>
    </w:p>
    <w:p w14:paraId="021E06D2"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Lactate</w:t>
      </w:r>
      <w:r w:rsidRPr="00375077">
        <w:rPr>
          <w:rFonts w:eastAsia="Times New Roman" w:cs="Times New Roman"/>
          <w:kern w:val="0"/>
          <w:lang w:val="en-US" w:eastAsia="en-GB"/>
          <w14:ligatures w14:val="none"/>
        </w:rPr>
        <w:t xml:space="preserve">, </w:t>
      </w:r>
      <w:r w:rsidRPr="00375077">
        <w:rPr>
          <w:rFonts w:eastAsia="Times New Roman" w:cs="Times New Roman"/>
          <w:b/>
          <w:bCs/>
          <w:kern w:val="0"/>
          <w:lang w:val="en-US" w:eastAsia="en-GB"/>
          <w14:ligatures w14:val="none"/>
        </w:rPr>
        <w:t>C-reactive protein</w:t>
      </w:r>
      <w:r w:rsidRPr="00375077">
        <w:rPr>
          <w:rFonts w:eastAsia="Times New Roman" w:cs="Times New Roman"/>
          <w:kern w:val="0"/>
          <w:lang w:val="en-US" w:eastAsia="en-GB"/>
          <w14:ligatures w14:val="none"/>
        </w:rPr>
        <w:t xml:space="preserve">, and </w:t>
      </w:r>
      <w:r w:rsidRPr="00375077">
        <w:rPr>
          <w:rFonts w:eastAsia="Times New Roman" w:cs="Times New Roman"/>
          <w:b/>
          <w:bCs/>
          <w:kern w:val="0"/>
          <w:lang w:val="en-US" w:eastAsia="en-GB"/>
          <w14:ligatures w14:val="none"/>
        </w:rPr>
        <w:t>procalcitonin</w:t>
      </w:r>
      <w:r w:rsidRPr="00375077">
        <w:rPr>
          <w:rFonts w:eastAsia="Times New Roman" w:cs="Times New Roman"/>
          <w:kern w:val="0"/>
          <w:lang w:val="en-US" w:eastAsia="en-GB"/>
          <w14:ligatures w14:val="none"/>
        </w:rPr>
        <w:t xml:space="preserve"> levels decreased.</w:t>
      </w:r>
    </w:p>
    <w:p w14:paraId="54F86959"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SOFA scores</w:t>
      </w:r>
      <w:r w:rsidRPr="00375077">
        <w:rPr>
          <w:rFonts w:eastAsia="Times New Roman" w:cs="Times New Roman"/>
          <w:kern w:val="0"/>
          <w:lang w:val="en-US" w:eastAsia="en-GB"/>
          <w14:ligatures w14:val="none"/>
        </w:rPr>
        <w:t xml:space="preserve"> improved.</w:t>
      </w:r>
    </w:p>
    <w:p w14:paraId="58EE6AFA" w14:textId="77777777" w:rsidR="00F42C88" w:rsidRPr="00375077" w:rsidRDefault="00F42C88" w:rsidP="00F42C88">
      <w:pPr>
        <w:numPr>
          <w:ilvl w:val="0"/>
          <w:numId w:val="4"/>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Noradrenaline doses</w:t>
      </w:r>
      <w:r w:rsidRPr="00375077">
        <w:rPr>
          <w:rFonts w:eastAsia="Times New Roman" w:cs="Times New Roman"/>
          <w:kern w:val="0"/>
          <w:lang w:val="en-US" w:eastAsia="en-GB"/>
          <w14:ligatures w14:val="none"/>
        </w:rPr>
        <w:t xml:space="preserve"> were significantly reduced.</w:t>
      </w:r>
    </w:p>
    <w:p w14:paraId="6327BEE6" w14:textId="1BA48386"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These changes point toward improved hemodynamic stability and reduced systemic inflammation.</w:t>
      </w:r>
    </w:p>
    <w:p w14:paraId="38D27B9C" w14:textId="77777777" w:rsidR="00DA15BC" w:rsidRDefault="00DA15BC" w:rsidP="00F42C88">
      <w:pPr>
        <w:spacing w:before="100" w:beforeAutospacing="1" w:after="100" w:afterAutospacing="1" w:line="240" w:lineRule="auto"/>
        <w:outlineLvl w:val="1"/>
        <w:rPr>
          <w:rFonts w:eastAsia="Times New Roman" w:cs="Times New Roman"/>
          <w:b/>
          <w:bCs/>
          <w:kern w:val="0"/>
          <w:lang w:val="en-US" w:eastAsia="en-GB"/>
          <w14:ligatures w14:val="none"/>
        </w:rPr>
      </w:pPr>
    </w:p>
    <w:p w14:paraId="06D36CE7" w14:textId="11565A4A"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Take-Home Messages</w:t>
      </w:r>
    </w:p>
    <w:p w14:paraId="78058A3E" w14:textId="77777777"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This real-world study offers several practical takeaways for ICU teams managing septic shock:</w:t>
      </w:r>
    </w:p>
    <w:p w14:paraId="079572CC" w14:textId="7E4AE17B"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Patient selection is key.</w:t>
      </w:r>
      <w:r w:rsidRPr="00375077">
        <w:rPr>
          <w:rFonts w:eastAsia="Times New Roman" w:cs="Times New Roman"/>
          <w:kern w:val="0"/>
          <w:lang w:val="en-US" w:eastAsia="en-GB"/>
          <w14:ligatures w14:val="none"/>
        </w:rPr>
        <w:t xml:space="preserve"> </w:t>
      </w:r>
      <w:proofErr w:type="spellStart"/>
      <w:r w:rsidRPr="00375077">
        <w:rPr>
          <w:rFonts w:eastAsia="Times New Roman" w:cs="Times New Roman"/>
          <w:kern w:val="0"/>
          <w:lang w:val="en-US" w:eastAsia="en-GB"/>
          <w14:ligatures w14:val="none"/>
        </w:rPr>
        <w:t>CytoSorb</w:t>
      </w:r>
      <w:proofErr w:type="spellEnd"/>
      <w:r w:rsidRPr="00375077">
        <w:rPr>
          <w:rFonts w:eastAsia="Times New Roman" w:cs="Times New Roman"/>
          <w:kern w:val="0"/>
          <w:lang w:val="en-US" w:eastAsia="en-GB"/>
          <w14:ligatures w14:val="none"/>
        </w:rPr>
        <w:t xml:space="preserve"> appears particularly beneficial in patients with septic shock, aligning with previous findings from </w:t>
      </w:r>
      <w:r w:rsidR="00DA15BC">
        <w:rPr>
          <w:rFonts w:eastAsia="Times New Roman" w:cs="Times New Roman"/>
          <w:kern w:val="0"/>
          <w:lang w:val="en-US" w:eastAsia="en-GB"/>
          <w14:ligatures w14:val="none"/>
        </w:rPr>
        <w:t>recent</w:t>
      </w:r>
      <w:r w:rsidRPr="00375077">
        <w:rPr>
          <w:rFonts w:eastAsia="Times New Roman" w:cs="Times New Roman"/>
          <w:kern w:val="0"/>
          <w:lang w:val="en-US" w:eastAsia="en-GB"/>
          <w14:ligatures w14:val="none"/>
        </w:rPr>
        <w:t xml:space="preserve"> meta-analyses.</w:t>
      </w:r>
    </w:p>
    <w:p w14:paraId="0B61C2C5" w14:textId="77777777"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Treatment intensity matters.</w:t>
      </w:r>
      <w:r w:rsidRPr="00375077">
        <w:rPr>
          <w:rFonts w:eastAsia="Times New Roman" w:cs="Times New Roman"/>
          <w:kern w:val="0"/>
          <w:lang w:val="en-US" w:eastAsia="en-GB"/>
          <w14:ligatures w14:val="none"/>
        </w:rPr>
        <w:t xml:space="preserve"> Using at least three adsorbers—and thus increasing the overall dose—was associated with better outcomes.</w:t>
      </w:r>
    </w:p>
    <w:p w14:paraId="4079BE0F" w14:textId="317DEC86"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lastRenderedPageBreak/>
        <w:t>Early initiation strengthens outcomes.</w:t>
      </w:r>
      <w:r w:rsidRPr="00375077">
        <w:rPr>
          <w:rFonts w:eastAsia="Times New Roman" w:cs="Times New Roman"/>
          <w:kern w:val="0"/>
          <w:lang w:val="en-US" w:eastAsia="en-GB"/>
          <w14:ligatures w14:val="none"/>
        </w:rPr>
        <w:t xml:space="preserve"> While high dosing had a stronger effect, starting </w:t>
      </w:r>
      <w:proofErr w:type="spellStart"/>
      <w:r w:rsidRPr="00375077">
        <w:rPr>
          <w:rFonts w:eastAsia="Times New Roman" w:cs="Times New Roman"/>
          <w:kern w:val="0"/>
          <w:lang w:val="en-US" w:eastAsia="en-GB"/>
          <w14:ligatures w14:val="none"/>
        </w:rPr>
        <w:t>CytoSorb</w:t>
      </w:r>
      <w:proofErr w:type="spellEnd"/>
      <w:r w:rsidR="00440407" w:rsidRPr="00375077">
        <w:rPr>
          <w:rFonts w:eastAsia="Times New Roman" w:cs="Times New Roman"/>
          <w:kern w:val="0"/>
          <w:lang w:val="en-US" w:eastAsia="en-GB"/>
          <w14:ligatures w14:val="none"/>
        </w:rPr>
        <w:t xml:space="preserve"> </w:t>
      </w:r>
      <w:r w:rsidRPr="00375077">
        <w:rPr>
          <w:rFonts w:eastAsia="Times New Roman" w:cs="Times New Roman"/>
          <w:kern w:val="0"/>
          <w:lang w:val="en-US" w:eastAsia="en-GB"/>
          <w14:ligatures w14:val="none"/>
        </w:rPr>
        <w:t>within 24 hours still contributed to improved survival.</w:t>
      </w:r>
    </w:p>
    <w:p w14:paraId="6D350D70" w14:textId="59CD435F" w:rsidR="00F42C88" w:rsidRPr="00375077" w:rsidRDefault="00F42C88" w:rsidP="00F42C88">
      <w:pPr>
        <w:numPr>
          <w:ilvl w:val="0"/>
          <w:numId w:val="5"/>
        </w:num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b/>
          <w:bCs/>
          <w:kern w:val="0"/>
          <w:lang w:val="en-US" w:eastAsia="en-GB"/>
          <w14:ligatures w14:val="none"/>
        </w:rPr>
        <w:t>There’s potential for even more.</w:t>
      </w:r>
      <w:r w:rsidRPr="00375077">
        <w:rPr>
          <w:rFonts w:eastAsia="Times New Roman" w:cs="Times New Roman"/>
          <w:kern w:val="0"/>
          <w:lang w:val="en-US" w:eastAsia="en-GB"/>
          <w14:ligatures w14:val="none"/>
        </w:rPr>
        <w:t xml:space="preserve"> The standard exchange interval in this study was 24 hours. With </w:t>
      </w:r>
      <w:r w:rsidR="007F7151" w:rsidRPr="00375077">
        <w:rPr>
          <w:rFonts w:eastAsia="Times New Roman" w:cs="Times New Roman"/>
          <w:kern w:val="0"/>
          <w:lang w:val="en-US" w:eastAsia="en-GB"/>
          <w14:ligatures w14:val="none"/>
        </w:rPr>
        <w:t>current</w:t>
      </w:r>
      <w:r w:rsidRPr="00375077">
        <w:rPr>
          <w:rFonts w:eastAsia="Times New Roman" w:cs="Times New Roman"/>
          <w:kern w:val="0"/>
          <w:lang w:val="en-US" w:eastAsia="en-GB"/>
          <w14:ligatures w14:val="none"/>
        </w:rPr>
        <w:t xml:space="preserve"> treatment protocols recommending shorter exchange intervals, future outcomes may be even more favorable.</w:t>
      </w:r>
    </w:p>
    <w:p w14:paraId="71A72042" w14:textId="77777777" w:rsidR="00DA15BC" w:rsidRDefault="00DA15BC" w:rsidP="00F42C88">
      <w:pPr>
        <w:spacing w:before="100" w:beforeAutospacing="1" w:after="100" w:afterAutospacing="1" w:line="240" w:lineRule="auto"/>
        <w:outlineLvl w:val="1"/>
        <w:rPr>
          <w:rFonts w:eastAsia="Times New Roman" w:cs="Times New Roman"/>
          <w:b/>
          <w:bCs/>
          <w:kern w:val="0"/>
          <w:lang w:val="en-US" w:eastAsia="en-GB"/>
          <w14:ligatures w14:val="none"/>
        </w:rPr>
      </w:pPr>
    </w:p>
    <w:p w14:paraId="275160A0" w14:textId="19B93807" w:rsidR="00F42C88" w:rsidRPr="00375077" w:rsidRDefault="00F42C88" w:rsidP="00F42C88">
      <w:pPr>
        <w:spacing w:before="100" w:beforeAutospacing="1" w:after="100" w:afterAutospacing="1" w:line="240" w:lineRule="auto"/>
        <w:outlineLvl w:val="1"/>
        <w:rPr>
          <w:rFonts w:eastAsia="Times New Roman" w:cs="Times New Roman"/>
          <w:b/>
          <w:bCs/>
          <w:kern w:val="0"/>
          <w:lang w:val="en-US" w:eastAsia="en-GB"/>
          <w14:ligatures w14:val="none"/>
        </w:rPr>
      </w:pPr>
      <w:r w:rsidRPr="00375077">
        <w:rPr>
          <w:rFonts w:eastAsia="Times New Roman" w:cs="Times New Roman"/>
          <w:b/>
          <w:bCs/>
          <w:kern w:val="0"/>
          <w:lang w:val="en-US" w:eastAsia="en-GB"/>
          <w14:ligatures w14:val="none"/>
        </w:rPr>
        <w:t>Conclusion</w:t>
      </w:r>
    </w:p>
    <w:p w14:paraId="77F492FE" w14:textId="338D7B43" w:rsidR="00F42C88" w:rsidRPr="00375077" w:rsidRDefault="00F42C88" w:rsidP="00F42C88">
      <w:pPr>
        <w:spacing w:before="100" w:beforeAutospacing="1" w:after="100" w:afterAutospacing="1" w:line="240" w:lineRule="auto"/>
        <w:rPr>
          <w:rFonts w:eastAsia="Times New Roman" w:cs="Times New Roman"/>
          <w:kern w:val="0"/>
          <w:lang w:val="en-US" w:eastAsia="en-GB"/>
          <w14:ligatures w14:val="none"/>
        </w:rPr>
      </w:pPr>
      <w:r w:rsidRPr="00375077">
        <w:rPr>
          <w:rFonts w:eastAsia="Times New Roman" w:cs="Times New Roman"/>
          <w:kern w:val="0"/>
          <w:lang w:val="en-US" w:eastAsia="en-GB"/>
          <w14:ligatures w14:val="none"/>
        </w:rPr>
        <w:t xml:space="preserve">The results from this large single-center experience reinforce </w:t>
      </w:r>
      <w:proofErr w:type="spellStart"/>
      <w:r w:rsidRPr="00375077">
        <w:rPr>
          <w:rFonts w:eastAsia="Times New Roman" w:cs="Times New Roman"/>
          <w:kern w:val="0"/>
          <w:lang w:val="en-US" w:eastAsia="en-GB"/>
          <w14:ligatures w14:val="none"/>
        </w:rPr>
        <w:t>CytoSorb’s</w:t>
      </w:r>
      <w:proofErr w:type="spellEnd"/>
      <w:r w:rsidRPr="00375077">
        <w:rPr>
          <w:rFonts w:eastAsia="Times New Roman" w:cs="Times New Roman"/>
          <w:kern w:val="0"/>
          <w:lang w:val="en-US" w:eastAsia="en-GB"/>
          <w14:ligatures w14:val="none"/>
        </w:rPr>
        <w:t xml:space="preserve"> role as a valuable adjunct in the management of septic shock. By emphasizing timely initiation and adequate dosing, clinicians can potentially enhance survival in critically ill patients. These findings, when considered alongside other studies like the Steindl meta-analysis</w:t>
      </w:r>
      <w:r w:rsidR="00DA15BC">
        <w:rPr>
          <w:rFonts w:eastAsia="Times New Roman" w:cs="Times New Roman"/>
          <w:kern w:val="0"/>
          <w:lang w:val="en-US" w:eastAsia="en-GB"/>
          <w14:ligatures w14:val="none"/>
        </w:rPr>
        <w:t>*</w:t>
      </w:r>
      <w:r w:rsidRPr="00375077">
        <w:rPr>
          <w:rFonts w:eastAsia="Times New Roman" w:cs="Times New Roman"/>
          <w:kern w:val="0"/>
          <w:lang w:val="en-US" w:eastAsia="en-GB"/>
          <w14:ligatures w14:val="none"/>
        </w:rPr>
        <w:t xml:space="preserve">, underscore a consistent narrative: </w:t>
      </w:r>
      <w:proofErr w:type="spellStart"/>
      <w:r w:rsidRPr="00375077">
        <w:rPr>
          <w:rFonts w:eastAsia="Times New Roman" w:cs="Times New Roman"/>
          <w:b/>
          <w:bCs/>
          <w:kern w:val="0"/>
          <w:lang w:val="en-US" w:eastAsia="en-GB"/>
          <w14:ligatures w14:val="none"/>
        </w:rPr>
        <w:t>CytoSorb</w:t>
      </w:r>
      <w:proofErr w:type="spellEnd"/>
      <w:r w:rsidRPr="00375077">
        <w:rPr>
          <w:rFonts w:eastAsia="Times New Roman" w:cs="Times New Roman"/>
          <w:b/>
          <w:bCs/>
          <w:kern w:val="0"/>
          <w:lang w:val="en-US" w:eastAsia="en-GB"/>
          <w14:ligatures w14:val="none"/>
        </w:rPr>
        <w:t xml:space="preserve"> is most effective when used early, intensively, and in the right patient population.</w:t>
      </w:r>
    </w:p>
    <w:p w14:paraId="674EEC79" w14:textId="77777777" w:rsidR="00195498" w:rsidRDefault="00195498">
      <w:pPr>
        <w:rPr>
          <w:lang w:val="en-US"/>
        </w:rPr>
      </w:pPr>
    </w:p>
    <w:p w14:paraId="0C1E1201" w14:textId="63052116" w:rsidR="00DA15BC" w:rsidRPr="00DA15BC" w:rsidRDefault="00DA15BC">
      <w:pPr>
        <w:rPr>
          <w:lang w:val="en-GB"/>
        </w:rPr>
      </w:pPr>
      <w:r w:rsidRPr="00DA15BC">
        <w:rPr>
          <w:lang w:val="en-GB"/>
        </w:rPr>
        <w:t>*</w:t>
      </w:r>
      <w:r w:rsidR="00A82868">
        <w:rPr>
          <w:rFonts w:ascii="Aptos" w:hAnsi="Aptos"/>
          <w:color w:val="212121"/>
        </w:rPr>
        <w:t>Berlot et al.</w:t>
      </w:r>
      <w:proofErr w:type="gramStart"/>
      <w:r w:rsidR="00A82868">
        <w:rPr>
          <w:rFonts w:ascii="Aptos" w:hAnsi="Aptos"/>
          <w:color w:val="212121"/>
        </w:rPr>
        <w:t>,  Real</w:t>
      </w:r>
      <w:proofErr w:type="gramEnd"/>
      <w:r w:rsidR="00A82868">
        <w:rPr>
          <w:rFonts w:ascii="Aptos" w:hAnsi="Aptos"/>
          <w:color w:val="212121"/>
        </w:rPr>
        <w:t>-World Outcomes of Hemoadsorption with CytoSorb® in Patients with Septic Shock: Insights from a Single-Center Study. J Intensive Care Med 2025; epub</w:t>
      </w:r>
    </w:p>
    <w:sectPr w:rsidR="00DA15BC" w:rsidRPr="00DA1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0947"/>
    <w:multiLevelType w:val="multilevel"/>
    <w:tmpl w:val="1B1C7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50D60"/>
    <w:multiLevelType w:val="multilevel"/>
    <w:tmpl w:val="8392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B6294"/>
    <w:multiLevelType w:val="multilevel"/>
    <w:tmpl w:val="2B5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F27F8"/>
    <w:multiLevelType w:val="multilevel"/>
    <w:tmpl w:val="381E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A75EC"/>
    <w:multiLevelType w:val="multilevel"/>
    <w:tmpl w:val="4EE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976476">
    <w:abstractNumId w:val="0"/>
  </w:num>
  <w:num w:numId="2" w16cid:durableId="636421642">
    <w:abstractNumId w:val="1"/>
  </w:num>
  <w:num w:numId="3" w16cid:durableId="730731228">
    <w:abstractNumId w:val="3"/>
  </w:num>
  <w:num w:numId="4" w16cid:durableId="179051283">
    <w:abstractNumId w:val="2"/>
  </w:num>
  <w:num w:numId="5" w16cid:durableId="32285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88"/>
    <w:rsid w:val="000802AA"/>
    <w:rsid w:val="00195498"/>
    <w:rsid w:val="002C0939"/>
    <w:rsid w:val="002D495C"/>
    <w:rsid w:val="00375077"/>
    <w:rsid w:val="00440407"/>
    <w:rsid w:val="00623899"/>
    <w:rsid w:val="00754D03"/>
    <w:rsid w:val="007B02F4"/>
    <w:rsid w:val="007F7151"/>
    <w:rsid w:val="00876E31"/>
    <w:rsid w:val="008A66B9"/>
    <w:rsid w:val="00955E48"/>
    <w:rsid w:val="00983E1A"/>
    <w:rsid w:val="00A82868"/>
    <w:rsid w:val="00D0690C"/>
    <w:rsid w:val="00DA15BC"/>
    <w:rsid w:val="00F42C88"/>
    <w:rsid w:val="00FB38C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04BC"/>
  <w15:chartTrackingRefBased/>
  <w15:docId w15:val="{36B9D384-4CD6-454C-B8BD-41AD7232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2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2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2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2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C88"/>
    <w:rPr>
      <w:rFonts w:eastAsiaTheme="majorEastAsia" w:cstheme="majorBidi"/>
      <w:color w:val="272727" w:themeColor="text1" w:themeTint="D8"/>
    </w:rPr>
  </w:style>
  <w:style w:type="paragraph" w:styleId="Title">
    <w:name w:val="Title"/>
    <w:basedOn w:val="Normal"/>
    <w:next w:val="Normal"/>
    <w:link w:val="TitleChar"/>
    <w:uiPriority w:val="10"/>
    <w:qFormat/>
    <w:rsid w:val="00F42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C88"/>
    <w:pPr>
      <w:spacing w:before="160"/>
      <w:jc w:val="center"/>
    </w:pPr>
    <w:rPr>
      <w:i/>
      <w:iCs/>
      <w:color w:val="404040" w:themeColor="text1" w:themeTint="BF"/>
    </w:rPr>
  </w:style>
  <w:style w:type="character" w:customStyle="1" w:styleId="QuoteChar">
    <w:name w:val="Quote Char"/>
    <w:basedOn w:val="DefaultParagraphFont"/>
    <w:link w:val="Quote"/>
    <w:uiPriority w:val="29"/>
    <w:rsid w:val="00F42C88"/>
    <w:rPr>
      <w:i/>
      <w:iCs/>
      <w:color w:val="404040" w:themeColor="text1" w:themeTint="BF"/>
    </w:rPr>
  </w:style>
  <w:style w:type="paragraph" w:styleId="ListParagraph">
    <w:name w:val="List Paragraph"/>
    <w:basedOn w:val="Normal"/>
    <w:uiPriority w:val="34"/>
    <w:qFormat/>
    <w:rsid w:val="00F42C88"/>
    <w:pPr>
      <w:ind w:left="720"/>
      <w:contextualSpacing/>
    </w:pPr>
  </w:style>
  <w:style w:type="character" w:styleId="IntenseEmphasis">
    <w:name w:val="Intense Emphasis"/>
    <w:basedOn w:val="DefaultParagraphFont"/>
    <w:uiPriority w:val="21"/>
    <w:qFormat/>
    <w:rsid w:val="00F42C88"/>
    <w:rPr>
      <w:i/>
      <w:iCs/>
      <w:color w:val="0F4761" w:themeColor="accent1" w:themeShade="BF"/>
    </w:rPr>
  </w:style>
  <w:style w:type="paragraph" w:styleId="IntenseQuote">
    <w:name w:val="Intense Quote"/>
    <w:basedOn w:val="Normal"/>
    <w:next w:val="Normal"/>
    <w:link w:val="IntenseQuoteChar"/>
    <w:uiPriority w:val="30"/>
    <w:qFormat/>
    <w:rsid w:val="00F42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C88"/>
    <w:rPr>
      <w:i/>
      <w:iCs/>
      <w:color w:val="0F4761" w:themeColor="accent1" w:themeShade="BF"/>
    </w:rPr>
  </w:style>
  <w:style w:type="character" w:styleId="IntenseReference">
    <w:name w:val="Intense Reference"/>
    <w:basedOn w:val="DefaultParagraphFont"/>
    <w:uiPriority w:val="32"/>
    <w:qFormat/>
    <w:rsid w:val="00F42C88"/>
    <w:rPr>
      <w:b/>
      <w:bCs/>
      <w:smallCaps/>
      <w:color w:val="0F4761" w:themeColor="accent1" w:themeShade="BF"/>
      <w:spacing w:val="5"/>
    </w:rPr>
  </w:style>
  <w:style w:type="paragraph" w:styleId="NormalWeb">
    <w:name w:val="Normal (Web)"/>
    <w:basedOn w:val="Normal"/>
    <w:uiPriority w:val="99"/>
    <w:semiHidden/>
    <w:unhideWhenUsed/>
    <w:rsid w:val="00F42C8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42C88"/>
    <w:rPr>
      <w:b/>
      <w:bCs/>
    </w:rPr>
  </w:style>
  <w:style w:type="paragraph" w:styleId="Revision">
    <w:name w:val="Revision"/>
    <w:hidden/>
    <w:uiPriority w:val="99"/>
    <w:semiHidden/>
    <w:rsid w:val="007F7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5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Vollmar</dc:creator>
  <cp:keywords/>
  <dc:description/>
  <cp:lastModifiedBy>Kenya Santos</cp:lastModifiedBy>
  <cp:revision>2</cp:revision>
  <dcterms:created xsi:type="dcterms:W3CDTF">2025-06-30T08:22:00Z</dcterms:created>
  <dcterms:modified xsi:type="dcterms:W3CDTF">2025-06-30T08:22:00Z</dcterms:modified>
</cp:coreProperties>
</file>