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521F" w14:textId="77777777" w:rsidR="00DE7779" w:rsidRDefault="00DE7779" w:rsidP="00035699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6F2D499F" w14:textId="77777777" w:rsidR="00DE7779" w:rsidRDefault="00DE7779" w:rsidP="00035699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012E57D3" w14:textId="095D4DEE" w:rsidR="00035699" w:rsidRDefault="00FB04F4" w:rsidP="009C0374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Text</w:t>
      </w:r>
      <w:r w:rsidR="007E221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v</w:t>
      </w:r>
      <w:r w:rsidR="001B71A3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orlagen</w:t>
      </w:r>
      <w:r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="00E4367B"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zur Dokumentation </w:t>
      </w:r>
    </w:p>
    <w:p w14:paraId="024A6712" w14:textId="373409FA" w:rsidR="00E4367B" w:rsidRPr="00035699" w:rsidRDefault="00E4367B" w:rsidP="009C0374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der </w:t>
      </w:r>
      <w:proofErr w:type="spellStart"/>
      <w:r w:rsidR="00125270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Hämoadsorption</w:t>
      </w:r>
      <w:proofErr w:type="spellEnd"/>
      <w:r w:rsidR="00125270"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="00125270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mit </w:t>
      </w:r>
      <w:proofErr w:type="spellStart"/>
      <w:r w:rsidRPr="00035699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CytoSorb</w:t>
      </w:r>
      <w:proofErr w:type="spellEnd"/>
      <w:r w:rsidR="00125270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Adsorbern</w:t>
      </w:r>
    </w:p>
    <w:p w14:paraId="72F1A926" w14:textId="376E4AA7" w:rsidR="00D2591A" w:rsidRDefault="00D2591A" w:rsidP="00035699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1D32C61B" w14:textId="77777777" w:rsidR="00DE7779" w:rsidRDefault="00DE7779" w:rsidP="00035699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77286082" w14:textId="630B5775" w:rsidR="00D2591A" w:rsidRDefault="00D2591A" w:rsidP="00035699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36371585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4"/>
          <w:szCs w:val="24"/>
        </w:rPr>
      </w:sdtEndPr>
      <w:sdtContent>
        <w:p w14:paraId="1D908941" w14:textId="4323E63D" w:rsidR="00DE7779" w:rsidRPr="006E6C6D" w:rsidRDefault="00DE7779" w:rsidP="009C0374">
          <w:pPr>
            <w:pStyle w:val="Inhaltsverzeichnisberschrift"/>
            <w:rPr>
              <w:rFonts w:ascii="Arial" w:hAnsi="Arial" w:cs="Arial"/>
              <w:b w:val="0"/>
              <w:bCs w:val="0"/>
              <w:sz w:val="24"/>
              <w:szCs w:val="24"/>
            </w:rPr>
          </w:pPr>
          <w:r w:rsidRPr="006E6C6D">
            <w:rPr>
              <w:rFonts w:ascii="Arial" w:hAnsi="Arial" w:cs="Arial"/>
              <w:b w:val="0"/>
              <w:bCs w:val="0"/>
              <w:sz w:val="24"/>
              <w:szCs w:val="24"/>
            </w:rPr>
            <w:t>Inhaltsverzeichnis</w:t>
          </w:r>
        </w:p>
        <w:p w14:paraId="53447FEF" w14:textId="502E1B95" w:rsidR="00AB4DE1" w:rsidRDefault="00AB4DE1" w:rsidP="00AB4DE1">
          <w:pPr>
            <w:rPr>
              <w:lang w:eastAsia="de-DE"/>
            </w:rPr>
          </w:pPr>
        </w:p>
        <w:p w14:paraId="13E4FE78" w14:textId="77777777" w:rsidR="00B13E8A" w:rsidRPr="00AB4DE1" w:rsidRDefault="00B13E8A" w:rsidP="00AB4DE1">
          <w:pPr>
            <w:rPr>
              <w:lang w:eastAsia="de-DE"/>
            </w:rPr>
          </w:pPr>
        </w:p>
        <w:p w14:paraId="59520320" w14:textId="26C5CAEF" w:rsidR="00705996" w:rsidRDefault="00DE7779">
          <w:pPr>
            <w:pStyle w:val="Verzeichnis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89143466" w:history="1">
            <w:r w:rsidR="00705996" w:rsidRPr="00994B0A">
              <w:rPr>
                <w:rStyle w:val="Hyperlink"/>
                <w:rFonts w:ascii="Arial" w:hAnsi="Arial" w:cs="Arial"/>
                <w:noProof/>
              </w:rPr>
              <w:t>1.</w:t>
            </w:r>
            <w:r w:rsidR="0070599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705996" w:rsidRPr="00994B0A">
              <w:rPr>
                <w:rStyle w:val="Hyperlink"/>
                <w:rFonts w:ascii="Arial" w:hAnsi="Arial" w:cs="Arial"/>
                <w:noProof/>
              </w:rPr>
              <w:t>Textvorlagen für den intraoperativen, herzchirurgischen Einsatz des CytoSorb-Adsorbers (z.B. OP-Bericht):</w:t>
            </w:r>
            <w:r w:rsidR="00705996">
              <w:rPr>
                <w:noProof/>
                <w:webHidden/>
              </w:rPr>
              <w:tab/>
            </w:r>
            <w:r w:rsidR="00705996">
              <w:rPr>
                <w:noProof/>
                <w:webHidden/>
              </w:rPr>
              <w:fldChar w:fldCharType="begin"/>
            </w:r>
            <w:r w:rsidR="00705996">
              <w:rPr>
                <w:noProof/>
                <w:webHidden/>
              </w:rPr>
              <w:instrText xml:space="preserve"> PAGEREF _Toc189143466 \h </w:instrText>
            </w:r>
            <w:r w:rsidR="00705996">
              <w:rPr>
                <w:noProof/>
                <w:webHidden/>
              </w:rPr>
            </w:r>
            <w:r w:rsidR="00705996">
              <w:rPr>
                <w:noProof/>
                <w:webHidden/>
              </w:rPr>
              <w:fldChar w:fldCharType="separate"/>
            </w:r>
            <w:r w:rsidR="00705996">
              <w:rPr>
                <w:noProof/>
                <w:webHidden/>
              </w:rPr>
              <w:t>2</w:t>
            </w:r>
            <w:r w:rsidR="00705996">
              <w:rPr>
                <w:noProof/>
                <w:webHidden/>
              </w:rPr>
              <w:fldChar w:fldCharType="end"/>
            </w:r>
          </w:hyperlink>
        </w:p>
        <w:p w14:paraId="3A4ED0B2" w14:textId="64AF647E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67" w:history="1">
            <w:r w:rsidRPr="00994B0A">
              <w:rPr>
                <w:rStyle w:val="Hyperlink"/>
                <w:rFonts w:ascii="Arial" w:hAnsi="Arial" w:cs="Arial"/>
                <w:noProof/>
              </w:rPr>
              <w:t>1.1.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>Hämoadsorption/CytoSorb bei komplexen intraoperativen Eingriffen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90FFB" w14:textId="3A4AAFE5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68" w:history="1">
            <w:r w:rsidRPr="00994B0A">
              <w:rPr>
                <w:rStyle w:val="Hyperlink"/>
                <w:rFonts w:ascii="Arial" w:hAnsi="Arial" w:cs="Arial"/>
                <w:noProof/>
              </w:rPr>
              <w:t>1.2.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>Hämoadsorption/CytoSorb bei Ticagrelor-Patienten mit herzchirurgischen Notfalleingriffen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70FC8" w14:textId="149342C8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69" w:history="1">
            <w:r w:rsidRPr="00994B0A">
              <w:rPr>
                <w:rStyle w:val="Hyperlink"/>
                <w:rFonts w:ascii="Arial" w:hAnsi="Arial" w:cs="Arial"/>
                <w:noProof/>
              </w:rPr>
              <w:t>1.3.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>Hämoadsorption/CytoSorb bei Rivaroxaban-Patienten mit herzchirurgischen Notfalleingriffen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578BF" w14:textId="48AB2C89" w:rsidR="00705996" w:rsidRDefault="00705996">
          <w:pPr>
            <w:pStyle w:val="Verzeichnis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0" w:history="1">
            <w:r w:rsidRPr="00994B0A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>Textvorlagen für den Einsatz des CytoSorb-Adsorbers auf der Intensivstation (z.B. Arztbrief, Verlegungsbrief)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6126C" w14:textId="2AE8B60C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1" w:history="1">
            <w:r w:rsidRPr="00994B0A">
              <w:rPr>
                <w:rStyle w:val="Hyperlink"/>
                <w:rFonts w:ascii="Arial" w:hAnsi="Arial" w:cs="Arial"/>
                <w:noProof/>
              </w:rPr>
              <w:t>2.1.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Hämoadsorption/CytoSorb zur Zytokinentfernung (refraktärer vasoplegischer Schock), </w:t>
            </w:r>
            <w:r w:rsidRPr="00994B0A">
              <w:rPr>
                <w:rStyle w:val="Hyperlink"/>
                <w:rFonts w:ascii="Arial" w:hAnsi="Arial" w:cs="Arial"/>
                <w:i/>
                <w:iCs/>
                <w:noProof/>
              </w:rPr>
              <w:t>ohne</w:t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 IL-6 Messung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DADAC" w14:textId="46AB974B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2" w:history="1">
            <w:r w:rsidRPr="00994B0A">
              <w:rPr>
                <w:rStyle w:val="Hyperlink"/>
                <w:rFonts w:ascii="Arial" w:hAnsi="Arial" w:cs="Arial"/>
                <w:noProof/>
              </w:rPr>
              <w:t>2.2.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Hämoadsorption/CytoSorb zur Zytokinentfernung (refraktärer vasoplegischer Schock, </w:t>
            </w:r>
            <w:r w:rsidRPr="00994B0A">
              <w:rPr>
                <w:rStyle w:val="Hyperlink"/>
                <w:rFonts w:ascii="Arial" w:hAnsi="Arial" w:cs="Arial"/>
                <w:i/>
                <w:iCs/>
                <w:noProof/>
              </w:rPr>
              <w:t>mit</w:t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 IL-6 Messung)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C83AA" w14:textId="0A76960D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3" w:history="1">
            <w:r w:rsidRPr="00994B0A">
              <w:rPr>
                <w:rStyle w:val="Hyperlink"/>
                <w:rFonts w:ascii="Arial" w:hAnsi="Arial" w:cs="Arial"/>
                <w:noProof/>
              </w:rPr>
              <w:t>2.3.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Hämoadsorption/CytoSorb zur Myoglobinentfernung (Rhabdomyolyse, </w:t>
            </w:r>
            <w:r w:rsidRPr="00994B0A">
              <w:rPr>
                <w:rStyle w:val="Hyperlink"/>
                <w:rFonts w:ascii="Arial" w:hAnsi="Arial" w:cs="Arial"/>
                <w:i/>
                <w:iCs/>
                <w:noProof/>
              </w:rPr>
              <w:t>ohne</w:t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 Myoglobin Messung)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3E4FA" w14:textId="364FAA67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4" w:history="1">
            <w:r w:rsidRPr="00994B0A">
              <w:rPr>
                <w:rStyle w:val="Hyperlink"/>
                <w:rFonts w:ascii="Arial" w:hAnsi="Arial" w:cs="Arial"/>
                <w:noProof/>
              </w:rPr>
              <w:t>2.4.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Hämoadsorption/CytoSorb zur Myoglobinentfernung (Rhabdomyolyse, </w:t>
            </w:r>
            <w:r w:rsidRPr="00994B0A">
              <w:rPr>
                <w:rStyle w:val="Hyperlink"/>
                <w:rFonts w:ascii="Arial" w:hAnsi="Arial" w:cs="Arial"/>
                <w:i/>
                <w:iCs/>
                <w:noProof/>
              </w:rPr>
              <w:t>mit</w:t>
            </w:r>
            <w:r w:rsidRPr="00994B0A">
              <w:rPr>
                <w:rStyle w:val="Hyperlink"/>
                <w:rFonts w:ascii="Arial" w:hAnsi="Arial" w:cs="Arial"/>
                <w:noProof/>
              </w:rPr>
              <w:t xml:space="preserve"> Myoglobin Messung)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42AF3" w14:textId="0928317E" w:rsidR="00705996" w:rsidRDefault="00705996">
          <w:pPr>
            <w:pStyle w:val="Verzeichnis3"/>
            <w:tabs>
              <w:tab w:val="left" w:pos="120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143475" w:history="1">
            <w:r w:rsidRPr="00994B0A">
              <w:rPr>
                <w:rStyle w:val="Hyperlink"/>
                <w:rFonts w:ascii="Arial" w:hAnsi="Arial" w:cs="Arial"/>
                <w:noProof/>
              </w:rPr>
              <w:t>2.5.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994B0A">
              <w:rPr>
                <w:rStyle w:val="Hyperlink"/>
                <w:rFonts w:ascii="Arial" w:hAnsi="Arial" w:cs="Arial"/>
                <w:noProof/>
              </w:rPr>
              <w:t>Hämoadsorption/CytoSorb zur Bilirubinentfernung (Leberversagen, mit Bilirubin Messung)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3DA8" w14:textId="6D20AE47" w:rsidR="00DE7779" w:rsidRDefault="00DE7779">
          <w:r>
            <w:rPr>
              <w:b/>
              <w:bCs/>
              <w:noProof/>
            </w:rPr>
            <w:fldChar w:fldCharType="end"/>
          </w:r>
        </w:p>
      </w:sdtContent>
    </w:sdt>
    <w:p w14:paraId="452703A3" w14:textId="3CAE4F51" w:rsidR="00D2591A" w:rsidRDefault="00D2591A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0625B31E" w14:textId="6F552D75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31BDDE1C" w14:textId="4DFBC373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4E85F04A" w14:textId="552C2465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197D279C" w14:textId="71655B3E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586A55FA" w14:textId="02714CCA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1CDB095A" w14:textId="77777777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18083F93" w14:textId="0F7BA4A0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872"/>
        <w:gridCol w:w="3906"/>
      </w:tblGrid>
      <w:tr w:rsidR="00AB4DE1" w14:paraId="4795A481" w14:textId="0F191454" w:rsidTr="00B13E8A">
        <w:tc>
          <w:tcPr>
            <w:tcW w:w="890" w:type="dxa"/>
          </w:tcPr>
          <w:p w14:paraId="344A6226" w14:textId="3757009B" w:rsidR="00AB4DE1" w:rsidRDefault="00AB4DE1" w:rsidP="009C03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2"/>
                <w:szCs w:val="22"/>
                <w:lang w:eastAsia="de-DE"/>
              </w:rPr>
              <w:drawing>
                <wp:inline distT="0" distB="0" distL="0" distR="0" wp14:anchorId="1FBF0FA7" wp14:editId="7FC84F3C">
                  <wp:extent cx="347023" cy="347023"/>
                  <wp:effectExtent l="0" t="0" r="0" b="0"/>
                  <wp:docPr id="1" name="Grafik 1" descr="Laptop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Laptop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30" cy="35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dxa"/>
            <w:vAlign w:val="center"/>
          </w:tcPr>
          <w:p w14:paraId="24A42113" w14:textId="34C53291" w:rsidR="00AB4DE1" w:rsidRDefault="00AB4DE1" w:rsidP="00AB4DE1">
            <w:pPr>
              <w:tabs>
                <w:tab w:val="left" w:pos="3011"/>
                <w:tab w:val="left" w:pos="3153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CytoSorb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-</w:t>
            </w: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Literaturdatenbank: </w:t>
            </w:r>
          </w:p>
        </w:tc>
        <w:tc>
          <w:tcPr>
            <w:tcW w:w="3958" w:type="dxa"/>
            <w:vAlign w:val="center"/>
          </w:tcPr>
          <w:p w14:paraId="502D96AF" w14:textId="0C31C2B7" w:rsidR="00AB4DE1" w:rsidRPr="009C0374" w:rsidRDefault="00AB4DE1" w:rsidP="00AB4DE1">
            <w:pPr>
              <w:tabs>
                <w:tab w:val="left" w:pos="3011"/>
                <w:tab w:val="left" w:pos="3153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https://literature.cytosorb-therapy.com</w:t>
            </w:r>
          </w:p>
        </w:tc>
      </w:tr>
      <w:tr w:rsidR="00B13E8A" w14:paraId="38BAC46E" w14:textId="77777777" w:rsidTr="00B13E8A">
        <w:tc>
          <w:tcPr>
            <w:tcW w:w="890" w:type="dxa"/>
          </w:tcPr>
          <w:p w14:paraId="5F9F708B" w14:textId="793E8400" w:rsidR="00B13E8A" w:rsidRPr="009C0374" w:rsidRDefault="00B13E8A" w:rsidP="009C0374">
            <w:pPr>
              <w:spacing w:line="276" w:lineRule="auto"/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2"/>
                <w:szCs w:val="22"/>
                <w:lang w:eastAsia="de-DE"/>
              </w:rPr>
              <w:drawing>
                <wp:inline distT="0" distB="0" distL="0" distR="0" wp14:anchorId="6E5AF0E7" wp14:editId="31D8C654">
                  <wp:extent cx="347023" cy="347023"/>
                  <wp:effectExtent l="0" t="0" r="0" b="0"/>
                  <wp:docPr id="3" name="Grafik 3" descr="Laptop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Laptop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30" cy="35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dxa"/>
            <w:vAlign w:val="center"/>
          </w:tcPr>
          <w:p w14:paraId="02AD80BC" w14:textId="02EF0A06" w:rsidR="00B13E8A" w:rsidRPr="009C0374" w:rsidRDefault="00B13E8A" w:rsidP="009C0374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Informationen zur Kodierung</w:t>
            </w:r>
            <w:r w:rsidR="00125270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&amp;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125270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Finanzierung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der CytoSorb</w:t>
            </w:r>
            <w:r w:rsidR="00125270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Adsorber</w:t>
            </w:r>
          </w:p>
        </w:tc>
        <w:tc>
          <w:tcPr>
            <w:tcW w:w="3958" w:type="dxa"/>
            <w:vAlign w:val="center"/>
          </w:tcPr>
          <w:p w14:paraId="55304B04" w14:textId="054339A6" w:rsidR="00B13E8A" w:rsidRPr="009C0374" w:rsidRDefault="00B13E8A" w:rsidP="00AB4D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hyperlink r:id="rId10" w:history="1">
              <w:r w:rsidRPr="00B13E8A"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de-DE"/>
                </w:rPr>
                <w:t>https://cyto.news/Reimbursement</w:t>
              </w:r>
            </w:hyperlink>
          </w:p>
        </w:tc>
      </w:tr>
      <w:tr w:rsidR="00AB4DE1" w14:paraId="00491BE6" w14:textId="7FFA8BF1" w:rsidTr="00B13E8A">
        <w:tc>
          <w:tcPr>
            <w:tcW w:w="890" w:type="dxa"/>
          </w:tcPr>
          <w:p w14:paraId="52D4B118" w14:textId="12E43780" w:rsidR="00AB4DE1" w:rsidRDefault="00AB4DE1" w:rsidP="009C03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C037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de-DE"/>
              </w:rPr>
              <w:drawing>
                <wp:inline distT="0" distB="0" distL="0" distR="0" wp14:anchorId="5831F224" wp14:editId="7525FC9A">
                  <wp:extent cx="346710" cy="346710"/>
                  <wp:effectExtent l="0" t="0" r="0" b="0"/>
                  <wp:docPr id="2" name="Grafik 2" descr="Umschla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Umschlag Silhouet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27" cy="35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dxa"/>
            <w:vAlign w:val="center"/>
          </w:tcPr>
          <w:p w14:paraId="449AC374" w14:textId="090E658D" w:rsidR="00AB4DE1" w:rsidRDefault="00AB4DE1" w:rsidP="009C03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ontakt (</w:t>
            </w:r>
            <w:r w:rsidR="00B13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persönliche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Unterstützung bei Dokumentation &amp; Abrechnung)</w:t>
            </w: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: </w:t>
            </w:r>
          </w:p>
        </w:tc>
        <w:tc>
          <w:tcPr>
            <w:tcW w:w="3958" w:type="dxa"/>
            <w:vAlign w:val="center"/>
          </w:tcPr>
          <w:p w14:paraId="49D78A9F" w14:textId="6830AA1C" w:rsidR="00AB4DE1" w:rsidRPr="009C0374" w:rsidRDefault="00AB4DE1" w:rsidP="00AB4D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 w:rsidRPr="009C037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reimbursement@cytosorbents.com</w:t>
            </w:r>
          </w:p>
        </w:tc>
      </w:tr>
    </w:tbl>
    <w:p w14:paraId="0F02619C" w14:textId="6F6F1B73" w:rsidR="009C0374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3AA11BFD" w14:textId="77777777" w:rsidR="009C0374" w:rsidRPr="00E4367B" w:rsidRDefault="009C0374" w:rsidP="009C0374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</w:p>
    <w:p w14:paraId="4C6A7630" w14:textId="56AFC388" w:rsidR="00D2591A" w:rsidRDefault="00D2591A" w:rsidP="00035699">
      <w:pPr>
        <w:spacing w:line="276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  <w:br w:type="page"/>
      </w:r>
    </w:p>
    <w:p w14:paraId="3BDFC41B" w14:textId="6248977F" w:rsidR="00AC3598" w:rsidRPr="006E6C6D" w:rsidRDefault="00E4367B" w:rsidP="00035699">
      <w:pPr>
        <w:pStyle w:val="berschrift2"/>
        <w:numPr>
          <w:ilvl w:val="0"/>
          <w:numId w:val="5"/>
        </w:numPr>
        <w:spacing w:before="0" w:line="276" w:lineRule="auto"/>
        <w:rPr>
          <w:rFonts w:ascii="Arial" w:hAnsi="Arial" w:cs="Arial"/>
          <w:sz w:val="24"/>
          <w:szCs w:val="24"/>
        </w:rPr>
      </w:pPr>
      <w:bookmarkStart w:id="0" w:name="_Toc189143466"/>
      <w:r w:rsidRPr="006E6C6D">
        <w:rPr>
          <w:rFonts w:ascii="Arial" w:hAnsi="Arial" w:cs="Arial"/>
          <w:sz w:val="24"/>
          <w:szCs w:val="24"/>
        </w:rPr>
        <w:lastRenderedPageBreak/>
        <w:t xml:space="preserve">Textvorlagen </w:t>
      </w:r>
      <w:r w:rsidR="00FB04F4" w:rsidRPr="006E6C6D">
        <w:rPr>
          <w:rFonts w:ascii="Arial" w:hAnsi="Arial" w:cs="Arial"/>
          <w:sz w:val="24"/>
          <w:szCs w:val="24"/>
        </w:rPr>
        <w:t xml:space="preserve">für </w:t>
      </w:r>
      <w:r w:rsidRPr="006E6C6D">
        <w:rPr>
          <w:rFonts w:ascii="Arial" w:hAnsi="Arial" w:cs="Arial"/>
          <w:sz w:val="24"/>
          <w:szCs w:val="24"/>
        </w:rPr>
        <w:t xml:space="preserve">den </w:t>
      </w:r>
      <w:r w:rsidR="00AC3598" w:rsidRPr="006E6C6D">
        <w:rPr>
          <w:rFonts w:ascii="Arial" w:hAnsi="Arial" w:cs="Arial"/>
          <w:sz w:val="24"/>
          <w:szCs w:val="24"/>
        </w:rPr>
        <w:t>intraoperativen</w:t>
      </w:r>
      <w:r w:rsidR="00FB04F4" w:rsidRPr="006E6C6D">
        <w:rPr>
          <w:rFonts w:ascii="Arial" w:hAnsi="Arial" w:cs="Arial"/>
          <w:sz w:val="24"/>
          <w:szCs w:val="24"/>
        </w:rPr>
        <w:t>, herzchirurgischen</w:t>
      </w:r>
      <w:r w:rsidR="00AC3598" w:rsidRPr="006E6C6D">
        <w:rPr>
          <w:rFonts w:ascii="Arial" w:hAnsi="Arial" w:cs="Arial"/>
          <w:sz w:val="24"/>
          <w:szCs w:val="24"/>
        </w:rPr>
        <w:t xml:space="preserve"> Einsatz </w:t>
      </w:r>
      <w:r w:rsidR="00FB04F4" w:rsidRPr="006E6C6D">
        <w:rPr>
          <w:rFonts w:ascii="Arial" w:hAnsi="Arial" w:cs="Arial"/>
          <w:sz w:val="24"/>
          <w:szCs w:val="24"/>
        </w:rPr>
        <w:t>des</w:t>
      </w:r>
      <w:r w:rsidR="00AC3598" w:rsidRPr="006E6C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598" w:rsidRPr="006E6C6D">
        <w:rPr>
          <w:rFonts w:ascii="Arial" w:hAnsi="Arial" w:cs="Arial"/>
          <w:sz w:val="24"/>
          <w:szCs w:val="24"/>
        </w:rPr>
        <w:t>CytoSorb</w:t>
      </w:r>
      <w:proofErr w:type="spellEnd"/>
      <w:r w:rsidR="00B565CB" w:rsidRPr="006E6C6D">
        <w:rPr>
          <w:rFonts w:ascii="Arial" w:hAnsi="Arial" w:cs="Arial"/>
          <w:sz w:val="24"/>
          <w:szCs w:val="24"/>
        </w:rPr>
        <w:t>-</w:t>
      </w:r>
      <w:r w:rsidR="00FB04F4" w:rsidRPr="006E6C6D">
        <w:rPr>
          <w:rFonts w:ascii="Arial" w:hAnsi="Arial" w:cs="Arial"/>
          <w:sz w:val="24"/>
          <w:szCs w:val="24"/>
        </w:rPr>
        <w:t>Adsorbers</w:t>
      </w:r>
      <w:r w:rsidR="00AB4DE1" w:rsidRPr="006E6C6D">
        <w:rPr>
          <w:rFonts w:ascii="Arial" w:hAnsi="Arial" w:cs="Arial"/>
          <w:sz w:val="24"/>
          <w:szCs w:val="24"/>
        </w:rPr>
        <w:t xml:space="preserve"> (z.B. OP-Bericht)</w:t>
      </w:r>
      <w:r w:rsidR="00AC3598" w:rsidRPr="006E6C6D">
        <w:rPr>
          <w:rFonts w:ascii="Arial" w:hAnsi="Arial" w:cs="Arial"/>
          <w:sz w:val="24"/>
          <w:szCs w:val="24"/>
        </w:rPr>
        <w:t>:</w:t>
      </w:r>
      <w:bookmarkEnd w:id="0"/>
    </w:p>
    <w:p w14:paraId="12732364" w14:textId="71EB0C29" w:rsidR="00B43551" w:rsidRDefault="00B43551" w:rsidP="00035699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6926FB5B" w14:textId="3520C85D" w:rsidR="00B13E8A" w:rsidRDefault="00B13E8A" w:rsidP="008C695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  <w:r w:rsidRPr="00FE219E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Bitte beachten Sie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die kursiven Kommentare bzw. Formulierungen, die je nach Patientensituation anzupassen </w:t>
      </w:r>
      <w:r w:rsidR="00D042E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(ggf. zu löschen) 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sind</w:t>
      </w:r>
      <w:r w:rsidR="00125270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,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bzw. ergänzen Sie, wen</w:t>
      </w:r>
      <w:r w:rsidR="00B15D7E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n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zutreffend, die genauen Messwerte, hier mit „xxx“ als Platzhalter angegeben.</w:t>
      </w:r>
    </w:p>
    <w:p w14:paraId="613E793A" w14:textId="77777777" w:rsidR="00525825" w:rsidRDefault="00525825" w:rsidP="00035699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500EF61F" w14:textId="77777777" w:rsidR="00FD434E" w:rsidRPr="00B565CB" w:rsidRDefault="00FD434E" w:rsidP="00035699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6E532BB1" w14:textId="1C94801C" w:rsidR="00F30813" w:rsidRPr="007E2217" w:rsidRDefault="00E70182" w:rsidP="007E2217">
      <w:pPr>
        <w:pStyle w:val="berschrift3"/>
        <w:numPr>
          <w:ilvl w:val="1"/>
          <w:numId w:val="12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1" w:name="_Toc189143467"/>
      <w:r w:rsidRPr="007E2217">
        <w:rPr>
          <w:rFonts w:ascii="Arial" w:hAnsi="Arial" w:cs="Arial"/>
          <w:color w:val="2F5496" w:themeColor="accent1" w:themeShade="BF"/>
        </w:rPr>
        <w:t>Hämoadsorption/</w:t>
      </w:r>
      <w:r w:rsidR="00FB04F4" w:rsidRPr="001B71A3">
        <w:rPr>
          <w:rFonts w:ascii="Arial" w:hAnsi="Arial" w:cs="Arial"/>
          <w:color w:val="2F5496" w:themeColor="accent1" w:themeShade="BF"/>
        </w:rPr>
        <w:t xml:space="preserve">CytoSorb </w:t>
      </w:r>
      <w:r w:rsidR="00AC3598" w:rsidRPr="001B71A3">
        <w:rPr>
          <w:rFonts w:ascii="Arial" w:hAnsi="Arial" w:cs="Arial"/>
          <w:color w:val="2F5496" w:themeColor="accent1" w:themeShade="BF"/>
        </w:rPr>
        <w:t>bei komplexen</w:t>
      </w:r>
      <w:r w:rsidR="00FB04F4" w:rsidRPr="001B71A3">
        <w:rPr>
          <w:rFonts w:ascii="Arial" w:hAnsi="Arial" w:cs="Arial"/>
          <w:color w:val="2F5496" w:themeColor="accent1" w:themeShade="BF"/>
        </w:rPr>
        <w:t xml:space="preserve"> intraoperativen</w:t>
      </w:r>
      <w:r w:rsidR="00AC3598" w:rsidRPr="001B71A3">
        <w:rPr>
          <w:rFonts w:ascii="Arial" w:hAnsi="Arial" w:cs="Arial"/>
          <w:color w:val="2F5496" w:themeColor="accent1" w:themeShade="BF"/>
        </w:rPr>
        <w:t xml:space="preserve"> Eingriffen</w:t>
      </w:r>
      <w:bookmarkEnd w:id="1"/>
      <w:r w:rsidR="00FD434E" w:rsidRPr="007E2217">
        <w:rPr>
          <w:rFonts w:ascii="Arial" w:hAnsi="Arial" w:cs="Arial"/>
          <w:color w:val="2F5496" w:themeColor="accent1" w:themeShade="BF"/>
        </w:rPr>
        <w:t xml:space="preserve"> </w:t>
      </w:r>
    </w:p>
    <w:p w14:paraId="6FE6C1CE" w14:textId="20860A22" w:rsidR="00FD434E" w:rsidRPr="007E2217" w:rsidRDefault="00FD434E" w:rsidP="007E2217">
      <w:pPr>
        <w:spacing w:line="276" w:lineRule="auto"/>
        <w:jc w:val="both"/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</w:pPr>
      <w:r w:rsidRPr="007E2217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  <w:t xml:space="preserve">(insbesondere bei </w:t>
      </w:r>
      <w:proofErr w:type="spellStart"/>
      <w:r w:rsidRPr="007E2217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  <w:t>Aortenchirurgie</w:t>
      </w:r>
      <w:proofErr w:type="spellEnd"/>
      <w:r w:rsidRPr="007E2217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  <w:t>, infektiöse Endokarditis, Herztransplantation)</w:t>
      </w:r>
    </w:p>
    <w:p w14:paraId="0C929EE7" w14:textId="77777777" w:rsidR="00FD434E" w:rsidRDefault="00FD434E" w:rsidP="00035699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1829585" w14:textId="65875509" w:rsidR="00B565CB" w:rsidRDefault="00D2591A" w:rsidP="00AB19F7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Aufgrund des</w:t>
      </w:r>
      <w:r w:rsidR="00125270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sehr komplexen Eingriffs (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z.B. lange HLM-Zeit, Re-OP, </w:t>
      </w:r>
      <w:proofErr w:type="spellStart"/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Aortenchirurgie</w:t>
      </w:r>
      <w:proofErr w:type="spellEnd"/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</w:t>
      </w:r>
      <w:r w:rsidR="00F30813" w:rsidRPr="006E6C6D">
        <w:rPr>
          <w:rFonts w:ascii="Arial" w:hAnsi="Arial" w:cs="Arial"/>
          <w:sz w:val="20"/>
          <w:szCs w:val="20"/>
        </w:rPr>
        <w:t xml:space="preserve">bestand ein deutlich erhöhtes Risiko für </w:t>
      </w:r>
      <w:r w:rsidR="00AB19F7" w:rsidRPr="00ED7E7C">
        <w:rPr>
          <w:rFonts w:ascii="Arial" w:hAnsi="Arial" w:cs="Arial"/>
          <w:sz w:val="20"/>
          <w:szCs w:val="20"/>
        </w:rPr>
        <w:t xml:space="preserve">postoperative, </w:t>
      </w:r>
      <w:r w:rsidR="00AB19F7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hyperinflammationsbedingte </w:t>
      </w:r>
      <w:r w:rsidR="004301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(durch erhöhte Zytokinspiegel) </w:t>
      </w:r>
      <w:r w:rsidR="00AB19F7" w:rsidRPr="00ED7E7C">
        <w:rPr>
          <w:rFonts w:ascii="Arial" w:hAnsi="Arial" w:cs="Arial"/>
          <w:sz w:val="20"/>
          <w:szCs w:val="20"/>
        </w:rPr>
        <w:t>Komplikationen</w:t>
      </w:r>
      <w:r w:rsidR="00F30813" w:rsidRPr="006E6C6D">
        <w:rPr>
          <w:rFonts w:ascii="Arial" w:hAnsi="Arial" w:cs="Arial"/>
          <w:sz w:val="20"/>
          <w:szCs w:val="20"/>
        </w:rPr>
        <w:t>.</w:t>
      </w:r>
      <w:r w:rsid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</w:t>
      </w:r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 </w:t>
      </w:r>
      <w:r w:rsidR="00AB19F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unphysiologisch </w:t>
      </w:r>
      <w:r w:rsidR="00125270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erhöhte</w:t>
      </w:r>
      <w:r w:rsidR="00AB19F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125270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</w:t>
      </w:r>
      <w:r w:rsidR="00125270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spiegel</w:t>
      </w:r>
      <w:proofErr w:type="spellEnd"/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zu senken und damit </w:t>
      </w:r>
      <w:r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überschießende Aktivierung des Immunsystems </w:t>
      </w:r>
      <w:r w:rsidR="00D60E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abzuschwächen</w:t>
      </w:r>
      <w:r w:rsidR="00F30813">
        <w:rPr>
          <w:rFonts w:ascii="Arial" w:hAnsi="Arial" w:cs="Arial"/>
          <w:sz w:val="20"/>
          <w:szCs w:val="20"/>
        </w:rPr>
        <w:t>,</w:t>
      </w:r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wurde intraoperativ durch Integration eines </w:t>
      </w:r>
      <w:proofErr w:type="spellStart"/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="00F30813" w:rsidRP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Adsorbers in die Herz-Lungen-Maschine eine Hämoadsorption durchgeführt</w:t>
      </w:r>
      <w:r w:rsidR="00F308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58FBE900" w14:textId="77777777" w:rsidR="00F30813" w:rsidRDefault="00F30813" w:rsidP="006E6C6D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811E86B" w14:textId="1E2320BD" w:rsidR="00FD434E" w:rsidRPr="001B71A3" w:rsidRDefault="00FD434E" w:rsidP="006E6C6D">
      <w:pPr>
        <w:spacing w:line="276" w:lineRule="auto"/>
        <w:jc w:val="both"/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  <w:t>Optional, wenn zutreffend:</w:t>
      </w:r>
    </w:p>
    <w:p w14:paraId="3E08557A" w14:textId="77777777" w:rsidR="00FD434E" w:rsidRDefault="00FD434E" w:rsidP="00FD434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Zusätzlich</w:t>
      </w:r>
      <w:proofErr w:type="spellEnd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war bei diesem präoperativ </w:t>
      </w:r>
      <w:proofErr w:type="spellStart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hämodynamisch</w:t>
      </w:r>
      <w:proofErr w:type="spellEnd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instabilen Patienten von einer bereits vorbestehenden Aktivierung des Immunsystems auszugehen. </w:t>
      </w:r>
    </w:p>
    <w:p w14:paraId="5858A8FB" w14:textId="77777777" w:rsidR="00FD434E" w:rsidRDefault="00FD434E" w:rsidP="00FD434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6995468" w14:textId="60C3F346" w:rsidR="00FD434E" w:rsidRPr="00FD434E" w:rsidRDefault="00FD434E" w:rsidP="00FD434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Zusammen mit den ausgeprägten Ko-</w:t>
      </w:r>
      <w:proofErr w:type="spellStart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Morbiditäten</w:t>
      </w:r>
      <w:proofErr w:type="spellEnd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des Patienten - welche sich unter anderem an der Dialysepflichtigkeit aufgrund der grenzwertigen Nierenfunktion vor dem Eingriff zeigte - war bei diesem Patienten von einem grundsätzlich noch höheren Risiko für postoperative Komplikationen auszugehen.</w:t>
      </w:r>
    </w:p>
    <w:p w14:paraId="6B9EBDD1" w14:textId="77777777" w:rsidR="00FD434E" w:rsidRPr="00FD434E" w:rsidRDefault="00FD434E" w:rsidP="00FD434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382E325" w14:textId="44ABBA84" w:rsidR="00FD434E" w:rsidRPr="001B71A3" w:rsidRDefault="00FD434E" w:rsidP="006E6C6D">
      <w:p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de-DE"/>
        </w:rPr>
        <w:t>Bei infektiöser Endokarditis:</w:t>
      </w:r>
      <w:r w:rsidRPr="008C695C">
        <w:rPr>
          <w:rFonts w:ascii="Arial" w:eastAsia="Times New Roman" w:hAnsi="Arial" w:cs="Arial"/>
          <w:color w:val="7F7F7F" w:themeColor="text1" w:themeTint="80"/>
          <w:sz w:val="20"/>
          <w:szCs w:val="20"/>
          <w:lang w:eastAsia="de-DE"/>
        </w:rPr>
        <w:t xml:space="preserve"> </w:t>
      </w:r>
    </w:p>
    <w:p w14:paraId="185FD69C" w14:textId="44A68681" w:rsidR="00FD434E" w:rsidRPr="00FD434E" w:rsidRDefault="00FD434E" w:rsidP="006E6C6D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Aufgrund der aktiven, infektiösen Endokarditis lag bei dem Patienten bereits präoperativ eine </w:t>
      </w:r>
      <w:proofErr w:type="spellStart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Hyperinflammation</w:t>
      </w:r>
      <w:proofErr w:type="spellEnd"/>
      <w:r w:rsidRPr="00FD43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vor.</w:t>
      </w:r>
    </w:p>
    <w:p w14:paraId="5909E627" w14:textId="77777777" w:rsidR="00FD434E" w:rsidRDefault="00FD434E" w:rsidP="006E6C6D">
      <w:pPr>
        <w:spacing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</w:pPr>
    </w:p>
    <w:p w14:paraId="2495DBA3" w14:textId="404400DA" w:rsidR="009C0374" w:rsidRDefault="009C0374">
      <w:pPr>
        <w:rPr>
          <w:rFonts w:asciiTheme="majorHAnsi" w:eastAsia="Times New Roman" w:hAnsiTheme="majorHAnsi" w:cstheme="majorBidi"/>
          <w:color w:val="1F3763" w:themeColor="accent1" w:themeShade="7F"/>
          <w:lang w:eastAsia="de-DE"/>
        </w:rPr>
      </w:pPr>
    </w:p>
    <w:p w14:paraId="284224A7" w14:textId="36D0E877" w:rsidR="00F36BE5" w:rsidRPr="007E2217" w:rsidRDefault="00E70182" w:rsidP="007E2217">
      <w:pPr>
        <w:pStyle w:val="berschrift3"/>
        <w:numPr>
          <w:ilvl w:val="1"/>
          <w:numId w:val="12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2" w:name="_Toc189143468"/>
      <w:r w:rsidRPr="007E2217">
        <w:rPr>
          <w:rFonts w:ascii="Arial" w:hAnsi="Arial" w:cs="Arial"/>
          <w:color w:val="2F5496" w:themeColor="accent1" w:themeShade="BF"/>
        </w:rPr>
        <w:t>Hämoadsorption/</w:t>
      </w:r>
      <w:r w:rsidR="00F36BE5" w:rsidRPr="007E2217">
        <w:rPr>
          <w:rFonts w:ascii="Arial" w:hAnsi="Arial" w:cs="Arial"/>
          <w:color w:val="2F5496" w:themeColor="accent1" w:themeShade="BF"/>
        </w:rPr>
        <w:t>CytoSorb bei Ticagrelor-Patienten mit herzchirurgischen Notfalleingriffen</w:t>
      </w:r>
      <w:bookmarkEnd w:id="2"/>
    </w:p>
    <w:p w14:paraId="0C84EA52" w14:textId="77777777" w:rsidR="00F36BE5" w:rsidRPr="00B565CB" w:rsidRDefault="00F36BE5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07B97C16" w14:textId="5CB2CE98" w:rsidR="000728E6" w:rsidRDefault="000728E6" w:rsidP="006E6C6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CB">
        <w:rPr>
          <w:rFonts w:ascii="Arial" w:hAnsi="Arial" w:cs="Arial"/>
          <w:sz w:val="20"/>
          <w:szCs w:val="20"/>
        </w:rPr>
        <w:t xml:space="preserve">Die </w:t>
      </w:r>
      <w:r w:rsidR="00E701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Hämoadsorption </w:t>
      </w:r>
      <w:r w:rsidRPr="00B565CB">
        <w:rPr>
          <w:rFonts w:ascii="Arial" w:hAnsi="Arial" w:cs="Arial"/>
          <w:sz w:val="20"/>
          <w:szCs w:val="20"/>
        </w:rPr>
        <w:t xml:space="preserve">wurde im Rahmen des kardiochirurgischen Eingriffs intraoperativ durch Integration </w:t>
      </w:r>
      <w:r w:rsidR="00E70182">
        <w:rPr>
          <w:rFonts w:ascii="Arial" w:hAnsi="Arial" w:cs="Arial"/>
          <w:sz w:val="20"/>
          <w:szCs w:val="20"/>
        </w:rPr>
        <w:t xml:space="preserve">eines </w:t>
      </w:r>
      <w:proofErr w:type="spellStart"/>
      <w:r w:rsidR="00E70182">
        <w:rPr>
          <w:rFonts w:ascii="Arial" w:hAnsi="Arial" w:cs="Arial"/>
          <w:sz w:val="20"/>
          <w:szCs w:val="20"/>
        </w:rPr>
        <w:t>CytoSorb</w:t>
      </w:r>
      <w:proofErr w:type="spellEnd"/>
      <w:r w:rsidR="00E70182" w:rsidRPr="00B565CB">
        <w:rPr>
          <w:rFonts w:ascii="Arial" w:hAnsi="Arial" w:cs="Arial"/>
          <w:sz w:val="20"/>
          <w:szCs w:val="20"/>
        </w:rPr>
        <w:t xml:space="preserve"> </w:t>
      </w:r>
      <w:r w:rsidRPr="00B565CB">
        <w:rPr>
          <w:rFonts w:ascii="Arial" w:hAnsi="Arial" w:cs="Arial"/>
          <w:sz w:val="20"/>
          <w:szCs w:val="20"/>
        </w:rPr>
        <w:t>Adsorbers in den HLM-Kreislauf angewandt. Aufgrund einer vorbestehenden Therapie mit dem Plättchen (Thrombozyten)-Inhibitor Ticagrelor (Handelsname Brilique) war bei dem Patienten ein erhöhtes, perioperatives Blutungsrisiko gegeben</w:t>
      </w:r>
      <w:r w:rsidR="00E70182">
        <w:rPr>
          <w:rFonts w:ascii="Arial" w:hAnsi="Arial" w:cs="Arial"/>
          <w:sz w:val="20"/>
          <w:szCs w:val="20"/>
        </w:rPr>
        <w:t xml:space="preserve">. </w:t>
      </w:r>
      <w:r w:rsidR="001963E9">
        <w:rPr>
          <w:rFonts w:ascii="Arial" w:hAnsi="Arial" w:cs="Arial"/>
          <w:sz w:val="20"/>
          <w:szCs w:val="20"/>
        </w:rPr>
        <w:t xml:space="preserve">Eine zeitliche Verschiebung des Eingriffs zum </w:t>
      </w:r>
      <w:r w:rsidRPr="00B565CB">
        <w:rPr>
          <w:rFonts w:ascii="Arial" w:hAnsi="Arial" w:cs="Arial"/>
          <w:sz w:val="20"/>
          <w:szCs w:val="20"/>
        </w:rPr>
        <w:t xml:space="preserve">Abwarten auf eine nachlassende </w:t>
      </w:r>
      <w:proofErr w:type="spellStart"/>
      <w:r w:rsidRPr="00B565CB">
        <w:rPr>
          <w:rFonts w:ascii="Arial" w:hAnsi="Arial" w:cs="Arial"/>
          <w:sz w:val="20"/>
          <w:szCs w:val="20"/>
        </w:rPr>
        <w:t>Plättchenhemmung</w:t>
      </w:r>
      <w:proofErr w:type="spellEnd"/>
      <w:r w:rsidRPr="00B565CB">
        <w:rPr>
          <w:rFonts w:ascii="Arial" w:hAnsi="Arial" w:cs="Arial"/>
          <w:sz w:val="20"/>
          <w:szCs w:val="20"/>
        </w:rPr>
        <w:t xml:space="preserve"> </w:t>
      </w:r>
      <w:r w:rsidR="00E70182">
        <w:rPr>
          <w:rFonts w:ascii="Arial" w:hAnsi="Arial" w:cs="Arial"/>
          <w:sz w:val="20"/>
          <w:szCs w:val="20"/>
        </w:rPr>
        <w:t>war</w:t>
      </w:r>
      <w:r w:rsidR="00E70182" w:rsidRPr="00B565CB">
        <w:rPr>
          <w:rFonts w:ascii="Arial" w:hAnsi="Arial" w:cs="Arial"/>
          <w:sz w:val="20"/>
          <w:szCs w:val="20"/>
        </w:rPr>
        <w:t xml:space="preserve"> </w:t>
      </w:r>
      <w:r w:rsidR="00E70182">
        <w:rPr>
          <w:rFonts w:ascii="Arial" w:hAnsi="Arial" w:cs="Arial"/>
          <w:sz w:val="20"/>
          <w:szCs w:val="20"/>
        </w:rPr>
        <w:t>aufgrund</w:t>
      </w:r>
      <w:r w:rsidRPr="00B565CB">
        <w:rPr>
          <w:rFonts w:ascii="Arial" w:hAnsi="Arial" w:cs="Arial"/>
          <w:sz w:val="20"/>
          <w:szCs w:val="20"/>
        </w:rPr>
        <w:t xml:space="preserve"> der medizinischen Dringlichkeit nicht möglich. Daher wurde der Adsorber intraoperativ zur effektiven Entfernung von Ticagrelor aus dem Patientenblut angewandt, mit dem Ziel, das Risiko für intra- und postoperativer Blutungskomplikationen zu senken. </w:t>
      </w:r>
    </w:p>
    <w:p w14:paraId="71DA1249" w14:textId="77777777" w:rsidR="000728E6" w:rsidRDefault="000728E6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55FC607F" w14:textId="5782789F" w:rsidR="000728E6" w:rsidRDefault="00FD434E" w:rsidP="00FD4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95C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Optional: </w:t>
      </w:r>
      <w:r w:rsidR="000728E6" w:rsidRPr="006E6C6D">
        <w:rPr>
          <w:rFonts w:ascii="Arial" w:hAnsi="Arial" w:cs="Arial"/>
          <w:i/>
          <w:iCs/>
          <w:sz w:val="20"/>
          <w:szCs w:val="20"/>
        </w:rPr>
        <w:t xml:space="preserve">Aufgrund des Einsatzes des Adsorbers konnte </w:t>
      </w:r>
      <w:r w:rsidR="00B42510" w:rsidRPr="006E6C6D">
        <w:rPr>
          <w:rFonts w:ascii="Arial" w:hAnsi="Arial" w:cs="Arial"/>
          <w:i/>
          <w:iCs/>
          <w:sz w:val="20"/>
          <w:szCs w:val="20"/>
        </w:rPr>
        <w:t xml:space="preserve">im weiteren Verlauf </w:t>
      </w:r>
      <w:r w:rsidR="000728E6" w:rsidRPr="006E6C6D">
        <w:rPr>
          <w:rFonts w:ascii="Arial" w:hAnsi="Arial" w:cs="Arial"/>
          <w:i/>
          <w:iCs/>
          <w:sz w:val="20"/>
          <w:szCs w:val="20"/>
        </w:rPr>
        <w:t>eine schnelle intraoperative Blutstillung mit geringem Transfusionsbedarf erreicht werden.</w:t>
      </w:r>
      <w:r w:rsidR="00B42510" w:rsidRPr="006E6C6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4523FD1" w14:textId="0D660A09" w:rsidR="00582377" w:rsidRDefault="00582377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36AE1855" w14:textId="77777777" w:rsidR="00705996" w:rsidRDefault="00705996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6EFCDBBB" w14:textId="77777777" w:rsidR="00705996" w:rsidRDefault="00705996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1E9BA11C" w14:textId="77777777" w:rsidR="00B42510" w:rsidRDefault="00B42510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5266F690" w14:textId="1BB35383" w:rsidR="00582377" w:rsidRPr="007E2217" w:rsidRDefault="00445BC8" w:rsidP="007E2217">
      <w:pPr>
        <w:pStyle w:val="berschrift3"/>
        <w:numPr>
          <w:ilvl w:val="1"/>
          <w:numId w:val="12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3" w:name="_Toc189143469"/>
      <w:r w:rsidRPr="007E2217">
        <w:rPr>
          <w:rFonts w:ascii="Arial" w:hAnsi="Arial" w:cs="Arial"/>
          <w:color w:val="2F5496" w:themeColor="accent1" w:themeShade="BF"/>
        </w:rPr>
        <w:lastRenderedPageBreak/>
        <w:t>Hämoadsorption/</w:t>
      </w:r>
      <w:r w:rsidR="00582377" w:rsidRPr="007E2217">
        <w:rPr>
          <w:rFonts w:ascii="Arial" w:hAnsi="Arial" w:cs="Arial"/>
          <w:color w:val="2F5496" w:themeColor="accent1" w:themeShade="BF"/>
        </w:rPr>
        <w:t>CytoSorb bei</w:t>
      </w:r>
      <w:r w:rsidR="008C695C" w:rsidRPr="007E2217">
        <w:rPr>
          <w:rFonts w:ascii="Arial" w:hAnsi="Arial" w:cs="Arial"/>
          <w:color w:val="2F5496" w:themeColor="accent1" w:themeShade="BF"/>
        </w:rPr>
        <w:t xml:space="preserve"> </w:t>
      </w:r>
      <w:r w:rsidR="00582377" w:rsidRPr="007E2217">
        <w:rPr>
          <w:rFonts w:ascii="Arial" w:hAnsi="Arial" w:cs="Arial"/>
          <w:color w:val="2F5496" w:themeColor="accent1" w:themeShade="BF"/>
        </w:rPr>
        <w:t>Rivaroxaban-Patienten mit herzchirurgischen Notfalleingriffen</w:t>
      </w:r>
      <w:bookmarkEnd w:id="3"/>
    </w:p>
    <w:p w14:paraId="530DD0A5" w14:textId="77777777" w:rsidR="00582377" w:rsidRPr="00B565CB" w:rsidRDefault="00582377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00A528C1" w14:textId="3461014D" w:rsidR="00B42510" w:rsidRDefault="00B42510" w:rsidP="006E6C6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CB">
        <w:rPr>
          <w:rFonts w:ascii="Arial" w:hAnsi="Arial" w:cs="Arial"/>
          <w:sz w:val="20"/>
          <w:szCs w:val="20"/>
        </w:rPr>
        <w:t xml:space="preserve">Die </w:t>
      </w:r>
      <w:r w:rsidR="00445BC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Hämoadsorption </w:t>
      </w:r>
      <w:r w:rsidRPr="00B565CB">
        <w:rPr>
          <w:rFonts w:ascii="Arial" w:hAnsi="Arial" w:cs="Arial"/>
          <w:sz w:val="20"/>
          <w:szCs w:val="20"/>
        </w:rPr>
        <w:t xml:space="preserve">wurde im Rahmen des kardiochirurgischen Eingriffs intraoperativ durch Integration </w:t>
      </w:r>
      <w:r w:rsidR="00445BC8">
        <w:rPr>
          <w:rFonts w:ascii="Arial" w:hAnsi="Arial" w:cs="Arial"/>
          <w:sz w:val="20"/>
          <w:szCs w:val="20"/>
        </w:rPr>
        <w:t xml:space="preserve">eines </w:t>
      </w:r>
      <w:proofErr w:type="spellStart"/>
      <w:r w:rsidR="00445BC8">
        <w:rPr>
          <w:rFonts w:ascii="Arial" w:hAnsi="Arial" w:cs="Arial"/>
          <w:sz w:val="20"/>
          <w:szCs w:val="20"/>
        </w:rPr>
        <w:t>CytoSorb</w:t>
      </w:r>
      <w:proofErr w:type="spellEnd"/>
      <w:r w:rsidR="00445BC8" w:rsidRPr="00B565CB">
        <w:rPr>
          <w:rFonts w:ascii="Arial" w:hAnsi="Arial" w:cs="Arial"/>
          <w:sz w:val="20"/>
          <w:szCs w:val="20"/>
        </w:rPr>
        <w:t xml:space="preserve"> </w:t>
      </w:r>
      <w:r w:rsidRPr="00B565CB">
        <w:rPr>
          <w:rFonts w:ascii="Arial" w:hAnsi="Arial" w:cs="Arial"/>
          <w:sz w:val="20"/>
          <w:szCs w:val="20"/>
        </w:rPr>
        <w:t xml:space="preserve">Adsorbers in den HLM-Kreislauf angewandt. Aufgrund einer vorbestehenden Therapie mit dem </w:t>
      </w:r>
      <w:r>
        <w:rPr>
          <w:rFonts w:ascii="Arial" w:hAnsi="Arial" w:cs="Arial"/>
          <w:sz w:val="20"/>
          <w:szCs w:val="20"/>
        </w:rPr>
        <w:t>Gerinnungshemmer Rivaroxaban</w:t>
      </w:r>
      <w:r w:rsidRPr="00B565CB">
        <w:rPr>
          <w:rFonts w:ascii="Arial" w:hAnsi="Arial" w:cs="Arial"/>
          <w:sz w:val="20"/>
          <w:szCs w:val="20"/>
        </w:rPr>
        <w:t xml:space="preserve"> (Handelsname </w:t>
      </w:r>
      <w:r>
        <w:rPr>
          <w:rFonts w:ascii="Arial" w:hAnsi="Arial" w:cs="Arial"/>
          <w:sz w:val="20"/>
          <w:szCs w:val="20"/>
        </w:rPr>
        <w:t>Xarelto</w:t>
      </w:r>
      <w:r w:rsidRPr="00B565CB">
        <w:rPr>
          <w:rFonts w:ascii="Arial" w:hAnsi="Arial" w:cs="Arial"/>
          <w:sz w:val="20"/>
          <w:szCs w:val="20"/>
        </w:rPr>
        <w:t>) war bei dem Patienten ein erhöhtes, perioperatives Blutungsrisiko gegeben</w:t>
      </w:r>
      <w:r w:rsidR="003866B3">
        <w:rPr>
          <w:rFonts w:ascii="Arial" w:hAnsi="Arial" w:cs="Arial"/>
          <w:sz w:val="20"/>
          <w:szCs w:val="20"/>
        </w:rPr>
        <w:t xml:space="preserve">. </w:t>
      </w:r>
      <w:r w:rsidR="0014458F">
        <w:rPr>
          <w:rFonts w:ascii="Arial" w:hAnsi="Arial" w:cs="Arial"/>
          <w:sz w:val="20"/>
          <w:szCs w:val="20"/>
        </w:rPr>
        <w:t xml:space="preserve">Eine zeitliche Verschiebung des Eingriffs zum </w:t>
      </w:r>
      <w:r w:rsidR="0014458F" w:rsidRPr="00B565CB">
        <w:rPr>
          <w:rFonts w:ascii="Arial" w:hAnsi="Arial" w:cs="Arial"/>
          <w:sz w:val="20"/>
          <w:szCs w:val="20"/>
        </w:rPr>
        <w:t xml:space="preserve">Abwarten auf eine nachlassende </w:t>
      </w:r>
      <w:r w:rsidR="0014458F">
        <w:rPr>
          <w:rFonts w:ascii="Arial" w:hAnsi="Arial" w:cs="Arial"/>
          <w:sz w:val="20"/>
          <w:szCs w:val="20"/>
        </w:rPr>
        <w:t>Gerinnungs</w:t>
      </w:r>
      <w:r w:rsidR="0014458F" w:rsidRPr="00B565CB">
        <w:rPr>
          <w:rFonts w:ascii="Arial" w:hAnsi="Arial" w:cs="Arial"/>
          <w:sz w:val="20"/>
          <w:szCs w:val="20"/>
        </w:rPr>
        <w:t xml:space="preserve">hemmung </w:t>
      </w:r>
      <w:r w:rsidR="0014458F">
        <w:rPr>
          <w:rFonts w:ascii="Arial" w:hAnsi="Arial" w:cs="Arial"/>
          <w:sz w:val="20"/>
          <w:szCs w:val="20"/>
        </w:rPr>
        <w:t>war</w:t>
      </w:r>
      <w:r w:rsidR="0014458F" w:rsidRPr="00B565CB">
        <w:rPr>
          <w:rFonts w:ascii="Arial" w:hAnsi="Arial" w:cs="Arial"/>
          <w:sz w:val="20"/>
          <w:szCs w:val="20"/>
        </w:rPr>
        <w:t xml:space="preserve"> </w:t>
      </w:r>
      <w:r w:rsidR="0014458F">
        <w:rPr>
          <w:rFonts w:ascii="Arial" w:hAnsi="Arial" w:cs="Arial"/>
          <w:sz w:val="20"/>
          <w:szCs w:val="20"/>
        </w:rPr>
        <w:t>aufgrund</w:t>
      </w:r>
      <w:r w:rsidR="0014458F" w:rsidRPr="00B565CB">
        <w:rPr>
          <w:rFonts w:ascii="Arial" w:hAnsi="Arial" w:cs="Arial"/>
          <w:sz w:val="20"/>
          <w:szCs w:val="20"/>
        </w:rPr>
        <w:t xml:space="preserve"> der medizinischen Dringlichkeit nicht möglich. </w:t>
      </w:r>
      <w:r w:rsidRPr="00B565CB">
        <w:rPr>
          <w:rFonts w:ascii="Arial" w:hAnsi="Arial" w:cs="Arial"/>
          <w:sz w:val="20"/>
          <w:szCs w:val="20"/>
        </w:rPr>
        <w:t xml:space="preserve">Daher wurde der Adsorber intraoperativ zur effektiven Entfernung von </w:t>
      </w:r>
      <w:r>
        <w:rPr>
          <w:rFonts w:ascii="Arial" w:hAnsi="Arial" w:cs="Arial"/>
          <w:sz w:val="20"/>
          <w:szCs w:val="20"/>
        </w:rPr>
        <w:t>Rivaroxaban</w:t>
      </w:r>
      <w:r w:rsidRPr="00B565CB">
        <w:rPr>
          <w:rFonts w:ascii="Arial" w:hAnsi="Arial" w:cs="Arial"/>
          <w:sz w:val="20"/>
          <w:szCs w:val="20"/>
        </w:rPr>
        <w:t xml:space="preserve"> aus dem Patientenblut angewandt, mit dem Ziel, das Risiko für intra- und postoperative Blutungskomplikationen zu senken.</w:t>
      </w:r>
    </w:p>
    <w:p w14:paraId="70ABAB08" w14:textId="77777777" w:rsidR="00B42510" w:rsidRDefault="00B42510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3A6C7D77" w14:textId="11106B55" w:rsidR="00B42510" w:rsidRPr="006E6C6D" w:rsidRDefault="0014458F" w:rsidP="0003569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8C695C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Optional: </w:t>
      </w:r>
      <w:r w:rsidR="00B42510" w:rsidRPr="006E6C6D">
        <w:rPr>
          <w:rFonts w:ascii="Arial" w:hAnsi="Arial" w:cs="Arial"/>
          <w:i/>
          <w:iCs/>
          <w:sz w:val="20"/>
          <w:szCs w:val="20"/>
        </w:rPr>
        <w:t xml:space="preserve">Aufgrund des Einsatzes des Adsorbers konnte im weiteren Verlauf eine schnelle intraoperative Blutstillung mit geringem Transfusionsbedarf erreicht werden. </w:t>
      </w:r>
    </w:p>
    <w:p w14:paraId="27FC73F0" w14:textId="7375827B" w:rsidR="00582377" w:rsidRDefault="00582377" w:rsidP="00035699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30A8B8BB" w14:textId="77777777" w:rsidR="0014458F" w:rsidRDefault="0014458F" w:rsidP="00035699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5AAA3C5F" w14:textId="77777777" w:rsidR="00FD7A3A" w:rsidRDefault="00FD7A3A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2CD7C553" w14:textId="77777777" w:rsidR="0014458F" w:rsidRDefault="0014458F" w:rsidP="00035699">
      <w:pPr>
        <w:spacing w:line="276" w:lineRule="auto"/>
        <w:rPr>
          <w:rFonts w:ascii="Arial" w:hAnsi="Arial" w:cs="Arial"/>
          <w:sz w:val="20"/>
          <w:szCs w:val="20"/>
        </w:rPr>
      </w:pPr>
    </w:p>
    <w:p w14:paraId="004A6B1F" w14:textId="017CD7A5" w:rsidR="001B71A3" w:rsidRPr="001B71A3" w:rsidRDefault="002B6B4E" w:rsidP="001B71A3">
      <w:pPr>
        <w:pStyle w:val="berschrift2"/>
        <w:numPr>
          <w:ilvl w:val="0"/>
          <w:numId w:val="5"/>
        </w:numPr>
        <w:spacing w:before="0" w:line="276" w:lineRule="auto"/>
        <w:rPr>
          <w:rFonts w:ascii="Arial" w:hAnsi="Arial" w:cs="Arial"/>
          <w:sz w:val="24"/>
          <w:szCs w:val="24"/>
        </w:rPr>
      </w:pPr>
      <w:bookmarkStart w:id="4" w:name="_Toc189143470"/>
      <w:r w:rsidRPr="006E6C6D">
        <w:rPr>
          <w:rFonts w:ascii="Arial" w:hAnsi="Arial" w:cs="Arial"/>
          <w:sz w:val="24"/>
          <w:szCs w:val="24"/>
        </w:rPr>
        <w:t>Text</w:t>
      </w:r>
      <w:r w:rsidR="008C695C">
        <w:rPr>
          <w:rFonts w:ascii="Arial" w:hAnsi="Arial" w:cs="Arial"/>
          <w:sz w:val="24"/>
          <w:szCs w:val="24"/>
        </w:rPr>
        <w:t>vorlagen</w:t>
      </w:r>
      <w:r w:rsidRPr="006E6C6D">
        <w:rPr>
          <w:rFonts w:ascii="Arial" w:hAnsi="Arial" w:cs="Arial"/>
          <w:sz w:val="24"/>
          <w:szCs w:val="24"/>
        </w:rPr>
        <w:t xml:space="preserve"> für den Einsatz des </w:t>
      </w:r>
      <w:proofErr w:type="spellStart"/>
      <w:r w:rsidRPr="006E6C6D">
        <w:rPr>
          <w:rFonts w:ascii="Arial" w:hAnsi="Arial" w:cs="Arial"/>
          <w:sz w:val="24"/>
          <w:szCs w:val="24"/>
        </w:rPr>
        <w:t>CytoSorb</w:t>
      </w:r>
      <w:proofErr w:type="spellEnd"/>
      <w:r w:rsidRPr="006E6C6D">
        <w:rPr>
          <w:rFonts w:ascii="Arial" w:hAnsi="Arial" w:cs="Arial"/>
          <w:sz w:val="24"/>
          <w:szCs w:val="24"/>
        </w:rPr>
        <w:t>-Adsorbers auf der Intensivstation</w:t>
      </w:r>
      <w:r w:rsidR="00E4367B" w:rsidRPr="006E6C6D">
        <w:rPr>
          <w:rFonts w:ascii="Arial" w:hAnsi="Arial" w:cs="Arial"/>
          <w:sz w:val="24"/>
          <w:szCs w:val="24"/>
        </w:rPr>
        <w:t xml:space="preserve"> (</w:t>
      </w:r>
      <w:r w:rsidR="00AB4DE1" w:rsidRPr="006E6C6D">
        <w:rPr>
          <w:rFonts w:ascii="Arial" w:hAnsi="Arial" w:cs="Arial"/>
          <w:sz w:val="24"/>
          <w:szCs w:val="24"/>
        </w:rPr>
        <w:t xml:space="preserve">z.B. </w:t>
      </w:r>
      <w:r w:rsidR="00E4367B" w:rsidRPr="006E6C6D">
        <w:rPr>
          <w:rFonts w:ascii="Arial" w:hAnsi="Arial" w:cs="Arial"/>
          <w:sz w:val="24"/>
          <w:szCs w:val="24"/>
        </w:rPr>
        <w:t>Arztbrief, Verlegungsbrief)</w:t>
      </w:r>
      <w:bookmarkEnd w:id="4"/>
    </w:p>
    <w:p w14:paraId="1837B1FC" w14:textId="77777777" w:rsidR="002B6B4E" w:rsidRDefault="002B6B4E" w:rsidP="00035699">
      <w:pPr>
        <w:spacing w:line="276" w:lineRule="auto"/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de-DE"/>
        </w:rPr>
      </w:pPr>
    </w:p>
    <w:p w14:paraId="2BB3D7A8" w14:textId="03AC43FF" w:rsidR="002B6B4E" w:rsidRDefault="002B6B4E" w:rsidP="0014458F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  <w:r w:rsidRPr="00FE219E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Bitte beachten Sie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die kursiven </w:t>
      </w:r>
      <w:r w:rsidR="00525825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Kommentare bzw. 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Formulierungen, die je nach Patientensituation anzupassen </w:t>
      </w:r>
      <w:r w:rsidR="00D042E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(ggf. zu löschen) 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sind</w:t>
      </w:r>
      <w:r w:rsidR="00B13E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bzw. ergänzen Sie, wen zutreffend, die genauen Messwerte, hier mit „xxx“ als Platzhalter angegeben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.</w:t>
      </w:r>
    </w:p>
    <w:p w14:paraId="2D6509F8" w14:textId="77777777" w:rsidR="002B6B4E" w:rsidRDefault="002B6B4E" w:rsidP="00035699">
      <w:pPr>
        <w:spacing w:line="276" w:lineRule="auto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p w14:paraId="2134A787" w14:textId="77777777" w:rsidR="00DB6A31" w:rsidRPr="00FE219E" w:rsidRDefault="00DB6A31" w:rsidP="00035699">
      <w:pPr>
        <w:spacing w:line="276" w:lineRule="auto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p w14:paraId="5AE0D4D7" w14:textId="0C2B90AF" w:rsidR="002B6B4E" w:rsidRPr="007E2217" w:rsidRDefault="003866B3" w:rsidP="007E2217">
      <w:pPr>
        <w:pStyle w:val="berschrift3"/>
        <w:numPr>
          <w:ilvl w:val="1"/>
          <w:numId w:val="13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5" w:name="_Toc189143471"/>
      <w:proofErr w:type="spellStart"/>
      <w:r w:rsidRPr="007E2217">
        <w:rPr>
          <w:rFonts w:ascii="Arial" w:hAnsi="Arial" w:cs="Arial"/>
          <w:color w:val="2F5496" w:themeColor="accent1" w:themeShade="BF"/>
        </w:rPr>
        <w:t>Hämoadsorption</w:t>
      </w:r>
      <w:proofErr w:type="spellEnd"/>
      <w:r w:rsidRPr="007E2217">
        <w:rPr>
          <w:rFonts w:ascii="Arial" w:hAnsi="Arial" w:cs="Arial"/>
          <w:color w:val="2F5496" w:themeColor="accent1" w:themeShade="BF"/>
        </w:rPr>
        <w:t>/</w:t>
      </w:r>
      <w:proofErr w:type="spellStart"/>
      <w:r w:rsidR="002B6B4E" w:rsidRPr="007E2217">
        <w:rPr>
          <w:rFonts w:ascii="Arial" w:hAnsi="Arial" w:cs="Arial"/>
          <w:color w:val="2F5496" w:themeColor="accent1" w:themeShade="BF"/>
        </w:rPr>
        <w:t>CytoSorb</w:t>
      </w:r>
      <w:proofErr w:type="spellEnd"/>
      <w:r w:rsidR="002B6B4E" w:rsidRPr="007E2217">
        <w:rPr>
          <w:rFonts w:ascii="Arial" w:hAnsi="Arial" w:cs="Arial"/>
          <w:color w:val="2F5496" w:themeColor="accent1" w:themeShade="BF"/>
        </w:rPr>
        <w:t xml:space="preserve"> </w:t>
      </w:r>
      <w:r w:rsidR="00BC60C4" w:rsidRPr="007E2217">
        <w:rPr>
          <w:rFonts w:ascii="Arial" w:hAnsi="Arial" w:cs="Arial"/>
          <w:color w:val="2F5496" w:themeColor="accent1" w:themeShade="BF"/>
        </w:rPr>
        <w:t xml:space="preserve">zur </w:t>
      </w:r>
      <w:proofErr w:type="spellStart"/>
      <w:r w:rsidR="00BC60C4" w:rsidRPr="007E2217">
        <w:rPr>
          <w:rFonts w:ascii="Arial" w:hAnsi="Arial" w:cs="Arial"/>
          <w:color w:val="2F5496" w:themeColor="accent1" w:themeShade="BF"/>
        </w:rPr>
        <w:t>Zytokinentfernung</w:t>
      </w:r>
      <w:proofErr w:type="spellEnd"/>
      <w:r w:rsidR="00BC60C4" w:rsidRPr="007E2217">
        <w:rPr>
          <w:rFonts w:ascii="Arial" w:hAnsi="Arial" w:cs="Arial"/>
          <w:color w:val="2F5496" w:themeColor="accent1" w:themeShade="BF"/>
        </w:rPr>
        <w:t xml:space="preserve"> (</w:t>
      </w:r>
      <w:r w:rsidR="002B6B4E" w:rsidRPr="007E2217">
        <w:rPr>
          <w:rFonts w:ascii="Arial" w:hAnsi="Arial" w:cs="Arial"/>
          <w:color w:val="2F5496" w:themeColor="accent1" w:themeShade="BF"/>
        </w:rPr>
        <w:t>refraktäre</w:t>
      </w:r>
      <w:r w:rsidR="00BC60C4" w:rsidRPr="007E2217">
        <w:rPr>
          <w:rFonts w:ascii="Arial" w:hAnsi="Arial" w:cs="Arial"/>
          <w:color w:val="2F5496" w:themeColor="accent1" w:themeShade="BF"/>
        </w:rPr>
        <w:t>r</w:t>
      </w:r>
      <w:r w:rsidR="002B6B4E" w:rsidRPr="007E2217">
        <w:rPr>
          <w:rFonts w:ascii="Arial" w:hAnsi="Arial" w:cs="Arial"/>
          <w:color w:val="2F5496" w:themeColor="accent1" w:themeShade="BF"/>
        </w:rPr>
        <w:t xml:space="preserve"> </w:t>
      </w:r>
      <w:proofErr w:type="spellStart"/>
      <w:r w:rsidR="002B6B4E" w:rsidRPr="007E2217">
        <w:rPr>
          <w:rFonts w:ascii="Arial" w:hAnsi="Arial" w:cs="Arial"/>
          <w:color w:val="2F5496" w:themeColor="accent1" w:themeShade="BF"/>
        </w:rPr>
        <w:t>vasoplegische</w:t>
      </w:r>
      <w:r w:rsidR="00BC60C4" w:rsidRPr="007E2217">
        <w:rPr>
          <w:rFonts w:ascii="Arial" w:hAnsi="Arial" w:cs="Arial"/>
          <w:color w:val="2F5496" w:themeColor="accent1" w:themeShade="BF"/>
        </w:rPr>
        <w:t>r</w:t>
      </w:r>
      <w:proofErr w:type="spellEnd"/>
      <w:r w:rsidR="002B6B4E" w:rsidRPr="007E2217">
        <w:rPr>
          <w:rFonts w:ascii="Arial" w:hAnsi="Arial" w:cs="Arial"/>
          <w:color w:val="2F5496" w:themeColor="accent1" w:themeShade="BF"/>
        </w:rPr>
        <w:t xml:space="preserve"> Schock</w:t>
      </w:r>
      <w:r w:rsidR="00705996">
        <w:rPr>
          <w:rFonts w:ascii="Arial" w:hAnsi="Arial" w:cs="Arial"/>
          <w:color w:val="2F5496" w:themeColor="accent1" w:themeShade="BF"/>
        </w:rPr>
        <w:t>)</w:t>
      </w:r>
      <w:r w:rsidR="002B6B4E" w:rsidRPr="007E2217">
        <w:rPr>
          <w:rFonts w:ascii="Arial" w:hAnsi="Arial" w:cs="Arial"/>
          <w:color w:val="2F5496" w:themeColor="accent1" w:themeShade="BF"/>
        </w:rPr>
        <w:t xml:space="preserve">, </w:t>
      </w:r>
      <w:r w:rsidR="002B6B4E" w:rsidRPr="007E2217">
        <w:rPr>
          <w:rFonts w:ascii="Arial" w:hAnsi="Arial" w:cs="Arial"/>
          <w:i/>
          <w:iCs/>
          <w:color w:val="2F5496" w:themeColor="accent1" w:themeShade="BF"/>
          <w:u w:val="single"/>
        </w:rPr>
        <w:t>ohne</w:t>
      </w:r>
      <w:r w:rsidR="002B6B4E" w:rsidRPr="007E2217">
        <w:rPr>
          <w:rFonts w:ascii="Arial" w:hAnsi="Arial" w:cs="Arial"/>
          <w:color w:val="2F5496" w:themeColor="accent1" w:themeShade="BF"/>
        </w:rPr>
        <w:t xml:space="preserve"> IL-6 Messung</w:t>
      </w:r>
      <w:bookmarkEnd w:id="5"/>
      <w:r w:rsidR="002B6B4E" w:rsidRPr="007E2217">
        <w:rPr>
          <w:rFonts w:ascii="Arial" w:hAnsi="Arial" w:cs="Arial"/>
          <w:color w:val="2F5496" w:themeColor="accent1" w:themeShade="BF"/>
        </w:rPr>
        <w:t xml:space="preserve"> </w:t>
      </w:r>
    </w:p>
    <w:p w14:paraId="6D395BBB" w14:textId="77777777" w:rsidR="003866B3" w:rsidRDefault="003866B3" w:rsidP="006E6C6D">
      <w:pPr>
        <w:rPr>
          <w:lang w:eastAsia="de-DE"/>
        </w:rPr>
      </w:pPr>
    </w:p>
    <w:p w14:paraId="67F14761" w14:textId="7D452411" w:rsidR="0014458F" w:rsidRPr="008C695C" w:rsidRDefault="0014458F" w:rsidP="0014458F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Ausführlich:</w:t>
      </w:r>
    </w:p>
    <w:p w14:paraId="7A77AC9A" w14:textId="2A789EED" w:rsidR="00BC60C4" w:rsidRPr="006E6C6D" w:rsidRDefault="006D75CB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D75CB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Bei dem Patienten/der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Patientin war mittlerweile</w:t>
      </w:r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ausgepr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gtes, hyperinflammatorisch bedingtes Schockgeschehen mit hohem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(steigendem)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Katecholaminbedarf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erh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hten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(steigenden)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Laktatwerten gegeben. </w:t>
      </w:r>
      <w:r w:rsidR="00813A5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refrakt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re,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vasoplegische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Schockzustand konnte nicht mehr ausreichend mit standardtherapeutischen Ma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nahmen kontrolliert werden</w:t>
      </w:r>
      <w:r w:rsidR="00813A5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13A55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Nachdem die klinische Evaluierung zusätzlich einen </w:t>
      </w:r>
      <w:proofErr w:type="spellStart"/>
      <w:r w:rsidR="00813A55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CytoScore</w:t>
      </w:r>
      <w:proofErr w:type="spellEnd"/>
      <w:r w:rsidR="00813A55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von &gt; 6 Punkten ergab,</w:t>
      </w:r>
      <w:r w:rsidR="00813A5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wurde zus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tzlich zur</w:t>
      </w:r>
      <w:r w:rsidR="001B71A3" w:rsidRPr="001B71A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E7325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intensiven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Therapie </w:t>
      </w:r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eine </w:t>
      </w:r>
      <w:proofErr w:type="spellStart"/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="003866B3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gestartet. </w:t>
      </w:r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Der Adsorber wurde dabei / in den extrakorporalen Kreislauf einer parallel indizierten</w:t>
      </w:r>
      <w:r w:rsidR="0014458F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/laufenden</w:t>
      </w:r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Nierenersatztherapie / ECMO </w:t>
      </w:r>
      <w:proofErr w:type="gramStart"/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integriert.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*</w:t>
      </w:r>
      <w:proofErr w:type="gram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Ziel dieser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adjunktiven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nahme war es, die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dysregulierte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Entz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ndungsreaktion 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ber eine </w:t>
      </w:r>
      <w:r w:rsidR="001445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Reduzierung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erh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hter </w:t>
      </w:r>
      <w:proofErr w:type="spellStart"/>
      <w:r w:rsidR="003866B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Zytokins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piegel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modulieren sowie klinisch zur Unterst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tzung der Stabilisierung der Kreislaufsituation beizutragen. </w:t>
      </w:r>
      <w:r w:rsidR="00431E8E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Um in dieser hochkritischen Phase 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auch von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Sepsis-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Leitlinie geforderte rasche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="00BC60C4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modynamische 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Stabilisierung anzupeilen</w:t>
      </w:r>
      <w:r w:rsidR="004B7BE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war eine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Fortf</w:t>
      </w:r>
      <w:r w:rsidR="00BC60C4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hrung 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H</w:t>
      </w:r>
      <w:r w:rsidR="00DC766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r w:rsidR="00BC60C4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, mit insgesamt XX Adsorbern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bis zum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medizinisch angezeigt, 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um bei anzunehmend </w:t>
      </w:r>
      <w:r w:rsidR="001445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weiterhin</w:t>
      </w:r>
      <w:r w:rsidR="001963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drastisch erh</w:t>
      </w:r>
      <w:r w:rsidR="00DC766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hten </w:t>
      </w:r>
      <w:proofErr w:type="spellStart"/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Zytokinspiegeln</w:t>
      </w:r>
      <w:proofErr w:type="spellEnd"/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r w:rsidR="001445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kontinuierliche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hohe Entfernungskapazit</w:t>
      </w:r>
      <w:r w:rsidR="00DC766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DC766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 aufrecht zu erhalten.</w:t>
      </w:r>
      <w:r w:rsidR="00DB6A31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6951AF11" w14:textId="7046C73A" w:rsidR="006D75CB" w:rsidRDefault="00DB6A31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Die </w:t>
      </w:r>
      <w:r w:rsidR="003866B3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Hämoadsorption 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wurde nach Erreichen einer ausreichenden h</w:t>
      </w:r>
      <w:r w:rsidRPr="009B1392">
        <w:rPr>
          <w:rFonts w:ascii="ArialMT" w:eastAsia="Times New Roman" w:hAnsi="ArialMT" w:cs="Times New Roman" w:hint="eastAsia"/>
          <w:i/>
          <w:iCs/>
          <w:color w:val="000000"/>
          <w:sz w:val="20"/>
          <w:szCs w:val="20"/>
          <w:lang w:eastAsia="de-DE"/>
        </w:rPr>
        <w:t>ä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modynamischen Stabilisierung</w:t>
      </w:r>
      <w:r w:rsidR="00BC60C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am </w:t>
      </w:r>
      <w:r w:rsidR="00BC60C4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beendet.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</w:p>
    <w:p w14:paraId="3228837F" w14:textId="77777777" w:rsidR="001B71A3" w:rsidRDefault="001B71A3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60C2450A" w14:textId="77777777" w:rsidR="001B71A3" w:rsidRPr="001B71A3" w:rsidRDefault="001B71A3" w:rsidP="001B71A3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* Wenn die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Hämoadsorption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Stand-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alone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mit der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Purifi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Maschine angewandt wird, entfällt dieser Satz.</w:t>
      </w:r>
    </w:p>
    <w:p w14:paraId="3953D940" w14:textId="77777777" w:rsidR="001B71A3" w:rsidRDefault="001B71A3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424BA88E" w14:textId="77777777" w:rsidR="00705996" w:rsidRDefault="00705996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477650AB" w14:textId="77777777" w:rsidR="00705996" w:rsidRDefault="00705996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766DE770" w14:textId="25945985" w:rsidR="0014458F" w:rsidRPr="008C695C" w:rsidRDefault="0014458F" w:rsidP="006E6C6D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lastRenderedPageBreak/>
        <w:t>Kurzform:</w:t>
      </w:r>
    </w:p>
    <w:p w14:paraId="5949A65D" w14:textId="0C6293AE" w:rsidR="0014458F" w:rsidRDefault="0014458F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 der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refrakt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re,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vasoplegische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Schockzustand nicht ausreichend mit standardtherapeutischen Ma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nahmen kontrolliert werden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konnte, wurde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um die </w:t>
      </w:r>
      <w:r w:rsidR="00EB4B1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aufgrund des klinischen Bildes drastisch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erhöhten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Zytokinspiegel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senken.</w:t>
      </w:r>
    </w:p>
    <w:p w14:paraId="3179500C" w14:textId="77777777" w:rsidR="002B6B4E" w:rsidRDefault="002B6B4E" w:rsidP="006E6C6D">
      <w:pPr>
        <w:spacing w:line="276" w:lineRule="auto"/>
        <w:jc w:val="both"/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de-DE"/>
        </w:rPr>
      </w:pPr>
    </w:p>
    <w:p w14:paraId="41B7F1C2" w14:textId="77777777" w:rsidR="0014458F" w:rsidRDefault="0014458F" w:rsidP="006E6C6D">
      <w:pPr>
        <w:spacing w:line="276" w:lineRule="auto"/>
        <w:jc w:val="both"/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de-DE"/>
        </w:rPr>
      </w:pPr>
    </w:p>
    <w:p w14:paraId="1600B54D" w14:textId="7DBC0FE4" w:rsidR="002B6B4E" w:rsidRPr="007E2217" w:rsidRDefault="003866B3" w:rsidP="007E2217">
      <w:pPr>
        <w:pStyle w:val="berschrift3"/>
        <w:numPr>
          <w:ilvl w:val="1"/>
          <w:numId w:val="13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6" w:name="_Toc189143472"/>
      <w:proofErr w:type="spellStart"/>
      <w:r w:rsidRPr="007E2217">
        <w:rPr>
          <w:rFonts w:ascii="Arial" w:hAnsi="Arial" w:cs="Arial"/>
          <w:color w:val="2F5496" w:themeColor="accent1" w:themeShade="BF"/>
        </w:rPr>
        <w:t>Hämoadsorption</w:t>
      </w:r>
      <w:proofErr w:type="spellEnd"/>
      <w:r w:rsidRPr="007E2217">
        <w:rPr>
          <w:rFonts w:ascii="Arial" w:hAnsi="Arial" w:cs="Arial"/>
          <w:color w:val="2F5496" w:themeColor="accent1" w:themeShade="BF"/>
        </w:rPr>
        <w:t>/</w:t>
      </w:r>
      <w:proofErr w:type="spellStart"/>
      <w:r w:rsidR="002B6B4E" w:rsidRPr="007E2217">
        <w:rPr>
          <w:rFonts w:ascii="Arial" w:hAnsi="Arial" w:cs="Arial"/>
          <w:color w:val="2F5496" w:themeColor="accent1" w:themeShade="BF"/>
        </w:rPr>
        <w:t>CytoSorb</w:t>
      </w:r>
      <w:proofErr w:type="spellEnd"/>
      <w:r w:rsidR="00BC60C4" w:rsidRPr="007E2217">
        <w:rPr>
          <w:rFonts w:ascii="Arial" w:hAnsi="Arial" w:cs="Arial"/>
          <w:color w:val="2F5496" w:themeColor="accent1" w:themeShade="BF"/>
        </w:rPr>
        <w:t xml:space="preserve"> zur </w:t>
      </w:r>
      <w:proofErr w:type="spellStart"/>
      <w:r w:rsidR="00BC60C4" w:rsidRPr="007E2217">
        <w:rPr>
          <w:rFonts w:ascii="Arial" w:hAnsi="Arial" w:cs="Arial"/>
          <w:color w:val="2F5496" w:themeColor="accent1" w:themeShade="BF"/>
        </w:rPr>
        <w:t>Zytokinentfernung</w:t>
      </w:r>
      <w:proofErr w:type="spellEnd"/>
      <w:r w:rsidR="00BC60C4" w:rsidRPr="007E2217">
        <w:rPr>
          <w:rFonts w:ascii="Arial" w:hAnsi="Arial" w:cs="Arial"/>
          <w:color w:val="2F5496" w:themeColor="accent1" w:themeShade="BF"/>
        </w:rPr>
        <w:t xml:space="preserve"> (</w:t>
      </w:r>
      <w:r w:rsidR="002B6B4E" w:rsidRPr="007E2217">
        <w:rPr>
          <w:rFonts w:ascii="Arial" w:hAnsi="Arial" w:cs="Arial"/>
          <w:color w:val="2F5496" w:themeColor="accent1" w:themeShade="BF"/>
        </w:rPr>
        <w:t>refraktäre</w:t>
      </w:r>
      <w:r w:rsidR="00BC60C4" w:rsidRPr="007E2217">
        <w:rPr>
          <w:rFonts w:ascii="Arial" w:hAnsi="Arial" w:cs="Arial"/>
          <w:color w:val="2F5496" w:themeColor="accent1" w:themeShade="BF"/>
        </w:rPr>
        <w:t>r</w:t>
      </w:r>
      <w:r w:rsidR="002B6B4E" w:rsidRPr="007E2217">
        <w:rPr>
          <w:rFonts w:ascii="Arial" w:hAnsi="Arial" w:cs="Arial"/>
          <w:color w:val="2F5496" w:themeColor="accent1" w:themeShade="BF"/>
        </w:rPr>
        <w:t xml:space="preserve"> </w:t>
      </w:r>
      <w:proofErr w:type="spellStart"/>
      <w:r w:rsidR="002B6B4E" w:rsidRPr="007E2217">
        <w:rPr>
          <w:rFonts w:ascii="Arial" w:hAnsi="Arial" w:cs="Arial"/>
          <w:color w:val="2F5496" w:themeColor="accent1" w:themeShade="BF"/>
        </w:rPr>
        <w:t>vasoplegische</w:t>
      </w:r>
      <w:r w:rsidR="00BC60C4" w:rsidRPr="007E2217">
        <w:rPr>
          <w:rFonts w:ascii="Arial" w:hAnsi="Arial" w:cs="Arial"/>
          <w:color w:val="2F5496" w:themeColor="accent1" w:themeShade="BF"/>
        </w:rPr>
        <w:t>r</w:t>
      </w:r>
      <w:proofErr w:type="spellEnd"/>
      <w:r w:rsidR="002B6B4E" w:rsidRPr="007E2217">
        <w:rPr>
          <w:rFonts w:ascii="Arial" w:hAnsi="Arial" w:cs="Arial"/>
          <w:color w:val="2F5496" w:themeColor="accent1" w:themeShade="BF"/>
        </w:rPr>
        <w:t xml:space="preserve"> Schock, </w:t>
      </w:r>
      <w:r w:rsidR="002B6B4E" w:rsidRPr="007E2217">
        <w:rPr>
          <w:rFonts w:ascii="Arial" w:hAnsi="Arial" w:cs="Arial"/>
          <w:i/>
          <w:iCs/>
          <w:color w:val="2F5496" w:themeColor="accent1" w:themeShade="BF"/>
          <w:u w:val="single"/>
        </w:rPr>
        <w:t>mit</w:t>
      </w:r>
      <w:r w:rsidR="002B6B4E" w:rsidRPr="007E2217">
        <w:rPr>
          <w:rFonts w:ascii="Arial" w:hAnsi="Arial" w:cs="Arial"/>
          <w:color w:val="2F5496" w:themeColor="accent1" w:themeShade="BF"/>
        </w:rPr>
        <w:t xml:space="preserve"> IL-6 Messung</w:t>
      </w:r>
      <w:r w:rsidR="00BC60C4" w:rsidRPr="007E2217">
        <w:rPr>
          <w:rFonts w:ascii="Arial" w:hAnsi="Arial" w:cs="Arial"/>
          <w:color w:val="2F5496" w:themeColor="accent1" w:themeShade="BF"/>
        </w:rPr>
        <w:t>)</w:t>
      </w:r>
      <w:bookmarkEnd w:id="6"/>
      <w:r w:rsidR="002B6B4E" w:rsidRPr="007E2217">
        <w:rPr>
          <w:rFonts w:ascii="Arial" w:hAnsi="Arial" w:cs="Arial"/>
          <w:color w:val="2F5496" w:themeColor="accent1" w:themeShade="BF"/>
        </w:rPr>
        <w:t xml:space="preserve"> </w:t>
      </w:r>
    </w:p>
    <w:p w14:paraId="7C7D22A0" w14:textId="77777777" w:rsidR="009C0374" w:rsidRDefault="009C0374" w:rsidP="006E6C6D">
      <w:pPr>
        <w:jc w:val="both"/>
        <w:rPr>
          <w:lang w:eastAsia="de-DE"/>
        </w:rPr>
      </w:pPr>
    </w:p>
    <w:p w14:paraId="3C37FF2E" w14:textId="4B454B39" w:rsidR="0014458F" w:rsidRPr="008C695C" w:rsidRDefault="0014458F" w:rsidP="0014458F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Ausführlich:</w:t>
      </w:r>
    </w:p>
    <w:p w14:paraId="5E8E95B6" w14:textId="7E0B4750" w:rsidR="00BC60C4" w:rsidRPr="006E6C6D" w:rsidRDefault="006D75CB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Bei dem Patienten/der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Patientin war mittlerweile ein ausgepr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gtes, hyperinflammatorisch bedingtes Schockgeschehen mit hohem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(steigendem)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Katecholaminbedarf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erh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hten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(steigenden)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Laktatwerten gegeben. Eine IL-6 Messung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am </w:t>
      </w:r>
      <w:r w:rsidR="00BC60C4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XX.XX.</w:t>
      </w:r>
      <w:r w:rsidR="0077192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2026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ergab einen deutlich erh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hten Wert von XXX </w:t>
      </w:r>
      <w:proofErr w:type="spellStart"/>
      <w:r w:rsidR="0099159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/ml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(s. Laborblatt, Referenzbereich &lt; 7 </w:t>
      </w:r>
      <w:proofErr w:type="spellStart"/>
      <w:r w:rsidR="0099159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</w:t>
      </w:r>
      <w:proofErr w:type="spell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/</w:t>
      </w:r>
      <w:r w:rsidR="0099159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l)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D</w:t>
      </w:r>
      <w:r w:rsidR="001B71A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refrakt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re,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vasoplegische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Schockzustand konnte nicht mehr ausreichend mit standardtherapeutischen Ma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nahmen kontrolliert werden</w:t>
      </w:r>
      <w:r w:rsidR="001B71A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1B71A3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Nachdem die klinische Evaluierung zusätzlich einen </w:t>
      </w:r>
      <w:proofErr w:type="spellStart"/>
      <w:r w:rsidR="001B71A3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CytoScore</w:t>
      </w:r>
      <w:proofErr w:type="spellEnd"/>
      <w:r w:rsidR="001B71A3" w:rsidRPr="00813A55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von &gt; 6 Punkten ergab,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wurde zus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tzlich zur maximalen supportiven Therapie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eine </w:t>
      </w:r>
      <w:proofErr w:type="spellStart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="006B662C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Adsorbern am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XX</w:t>
      </w:r>
      <w:r w:rsidR="001445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gestartet. </w:t>
      </w:r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Der Adsorber wurde dabei / in den extrakorporalen Kreislauf einer parallel indizierten</w:t>
      </w:r>
      <w:r w:rsidR="0014458F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/laufenden</w:t>
      </w:r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Nierenersatztherapie / ECMO </w:t>
      </w:r>
      <w:proofErr w:type="gramStart"/>
      <w:r w:rsidR="006B662C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integriert.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*</w:t>
      </w:r>
      <w:proofErr w:type="gramEnd"/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Ziel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dieser </w:t>
      </w:r>
      <w:proofErr w:type="spellStart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adjunktiven</w:t>
      </w:r>
      <w:proofErr w:type="spell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Ma</w:t>
      </w:r>
      <w:r w:rsidR="006B662C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nahme war es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die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dysregulierte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Entz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ndungsreaktion 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ber eine </w:t>
      </w:r>
      <w:r w:rsidR="001445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Reduzierung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erh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ö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hter </w:t>
      </w:r>
      <w:proofErr w:type="spellStart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Zytokinspiegel</w:t>
      </w:r>
      <w:proofErr w:type="spellEnd"/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modulieren 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sowie klinisch zur Unterst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tzung der Stabilisierung der Kreislaufsituation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beizutragen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Um in dieser hochkritischen Phase ausgepr</w:t>
      </w:r>
      <w:r w:rsidR="00A87EB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gter klinischer Instabilit</w:t>
      </w:r>
      <w:r w:rsidR="00A87EB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 die auch von </w:t>
      </w:r>
      <w:r w:rsidR="006B662C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Sepsis-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Leitlinie geforderte rasche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="00BC60C4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modynamische 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Stabilisierung anzupeilen</w:t>
      </w:r>
      <w:r w:rsidR="004B7BE3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war eine 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Fortf</w:t>
      </w:r>
      <w:r w:rsidR="00BC60C4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ü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hrung 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H</w:t>
      </w:r>
      <w:r w:rsidR="00A87EB6"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r w:rsidR="00BC60C4"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, mit insgesamt XX Adsorbern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bis zum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="00BC60C4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medizinisch angezeigt</w:t>
      </w:r>
      <w:r w:rsidR="00A87EB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14:paraId="66A74B3A" w14:textId="1D7966D8" w:rsidR="002B6B4E" w:rsidRDefault="00BC60C4" w:rsidP="006E6C6D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Die 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Hämoadsorption 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wurde nach Erreichen einer ausreichenden h</w:t>
      </w:r>
      <w:r w:rsidRPr="009B1392">
        <w:rPr>
          <w:rFonts w:ascii="ArialMT" w:eastAsia="Times New Roman" w:hAnsi="ArialMT" w:cs="Times New Roman" w:hint="eastAsia"/>
          <w:i/>
          <w:iCs/>
          <w:color w:val="000000"/>
          <w:sz w:val="20"/>
          <w:szCs w:val="20"/>
          <w:lang w:eastAsia="de-DE"/>
        </w:rPr>
        <w:t>ä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modynamischen Stabilisierung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am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 w:rsidRPr="009B1392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beendet.</w:t>
      </w:r>
    </w:p>
    <w:p w14:paraId="7AA6510A" w14:textId="77777777" w:rsidR="00EB4B1C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12885E76" w14:textId="1474763E" w:rsidR="001B71A3" w:rsidRPr="00705996" w:rsidRDefault="001B71A3" w:rsidP="00EB4B1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* Wenn die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Hämoadsorption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Stand-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alone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mit der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Purifi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Maschine angewandt wird, entfällt dieser Satz.</w:t>
      </w:r>
    </w:p>
    <w:p w14:paraId="1B5A4351" w14:textId="77777777" w:rsidR="00EB4B1C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30B58A37" w14:textId="597FEAA9" w:rsidR="00EB4B1C" w:rsidRPr="008C695C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Kurzform:</w:t>
      </w:r>
    </w:p>
    <w:p w14:paraId="3F841D46" w14:textId="0D8F4C3B" w:rsidR="00EB4B1C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 der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refrakt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re,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vasoplegische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Schockzustand nicht ausreichend mit standardtherapeutischen Ma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ß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nahmen kontrolliert werden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konnte, wurde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um d</w:t>
      </w:r>
      <w:r w:rsidR="008A2A4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nachweislich drastisch erhöhten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Zytokinspiegel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senken.</w:t>
      </w:r>
    </w:p>
    <w:p w14:paraId="6986774E" w14:textId="77777777" w:rsidR="0014458F" w:rsidRDefault="0014458F" w:rsidP="00035699">
      <w:pPr>
        <w:pBdr>
          <w:bottom w:val="single" w:sz="6" w:space="1" w:color="auto"/>
        </w:pBd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71B6DDE9" w14:textId="77777777" w:rsidR="0014458F" w:rsidRDefault="0014458F" w:rsidP="00035699">
      <w:pPr>
        <w:pBdr>
          <w:bottom w:val="single" w:sz="6" w:space="1" w:color="auto"/>
        </w:pBd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03E7D725" w14:textId="77777777" w:rsidR="009B1392" w:rsidRDefault="009B1392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228772EB" w14:textId="77777777" w:rsidR="0014458F" w:rsidRDefault="0014458F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1CB94764" w14:textId="7CC3A49C" w:rsidR="00B13E8A" w:rsidRPr="001B71A3" w:rsidRDefault="00A61CE2" w:rsidP="00705996">
      <w:pPr>
        <w:pStyle w:val="berschrift3"/>
        <w:numPr>
          <w:ilvl w:val="1"/>
          <w:numId w:val="13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7" w:name="_Toc189143473"/>
      <w:proofErr w:type="spellStart"/>
      <w:r w:rsidRPr="001B71A3">
        <w:rPr>
          <w:rFonts w:ascii="Arial" w:hAnsi="Arial" w:cs="Arial"/>
          <w:color w:val="2F5496" w:themeColor="accent1" w:themeShade="BF"/>
        </w:rPr>
        <w:t>Hämoadsorption</w:t>
      </w:r>
      <w:proofErr w:type="spellEnd"/>
      <w:r w:rsidRPr="001B71A3">
        <w:rPr>
          <w:rFonts w:ascii="Arial" w:hAnsi="Arial" w:cs="Arial"/>
          <w:color w:val="2F5496" w:themeColor="accent1" w:themeShade="BF"/>
        </w:rPr>
        <w:t>/</w:t>
      </w:r>
      <w:proofErr w:type="spellStart"/>
      <w:r w:rsidR="00B13E8A" w:rsidRPr="001B71A3">
        <w:rPr>
          <w:rFonts w:ascii="Arial" w:hAnsi="Arial" w:cs="Arial"/>
          <w:color w:val="2F5496" w:themeColor="accent1" w:themeShade="BF"/>
        </w:rPr>
        <w:t>CytoSorb</w:t>
      </w:r>
      <w:proofErr w:type="spellEnd"/>
      <w:r w:rsidR="00B13E8A" w:rsidRPr="001B71A3">
        <w:rPr>
          <w:rFonts w:ascii="Arial" w:hAnsi="Arial" w:cs="Arial"/>
          <w:color w:val="2F5496" w:themeColor="accent1" w:themeShade="BF"/>
        </w:rPr>
        <w:t xml:space="preserve"> </w:t>
      </w:r>
      <w:r w:rsidR="00BC60C4" w:rsidRPr="001B71A3">
        <w:rPr>
          <w:rFonts w:ascii="Arial" w:hAnsi="Arial" w:cs="Arial"/>
          <w:color w:val="2F5496" w:themeColor="accent1" w:themeShade="BF"/>
        </w:rPr>
        <w:t xml:space="preserve">zur </w:t>
      </w:r>
      <w:proofErr w:type="spellStart"/>
      <w:r w:rsidR="00DE5271" w:rsidRPr="001B71A3">
        <w:rPr>
          <w:rFonts w:ascii="Arial" w:hAnsi="Arial" w:cs="Arial"/>
          <w:color w:val="2F5496" w:themeColor="accent1" w:themeShade="BF"/>
        </w:rPr>
        <w:t>Myoglobin</w:t>
      </w:r>
      <w:r w:rsidR="00BC60C4" w:rsidRPr="001B71A3">
        <w:rPr>
          <w:rFonts w:ascii="Arial" w:hAnsi="Arial" w:cs="Arial"/>
          <w:color w:val="2F5496" w:themeColor="accent1" w:themeShade="BF"/>
        </w:rPr>
        <w:t>entfernung</w:t>
      </w:r>
      <w:proofErr w:type="spellEnd"/>
      <w:r w:rsidR="00BC60C4" w:rsidRPr="001B71A3">
        <w:rPr>
          <w:rFonts w:ascii="Arial" w:hAnsi="Arial" w:cs="Arial"/>
          <w:color w:val="2F5496" w:themeColor="accent1" w:themeShade="BF"/>
        </w:rPr>
        <w:t xml:space="preserve"> (</w:t>
      </w:r>
      <w:r w:rsidR="00B13E8A" w:rsidRPr="001B71A3">
        <w:rPr>
          <w:rFonts w:ascii="Arial" w:hAnsi="Arial" w:cs="Arial"/>
          <w:color w:val="2F5496" w:themeColor="accent1" w:themeShade="BF"/>
        </w:rPr>
        <w:t xml:space="preserve">Rhabdomyolyse, </w:t>
      </w:r>
      <w:r w:rsidR="00B13E8A" w:rsidRPr="00705996">
        <w:rPr>
          <w:rFonts w:ascii="Arial" w:hAnsi="Arial" w:cs="Arial"/>
          <w:i/>
          <w:iCs/>
          <w:color w:val="2F5496" w:themeColor="accent1" w:themeShade="BF"/>
          <w:u w:val="single"/>
        </w:rPr>
        <w:t>ohne</w:t>
      </w:r>
      <w:r w:rsidR="00B13E8A" w:rsidRPr="001B71A3">
        <w:rPr>
          <w:rFonts w:ascii="Arial" w:hAnsi="Arial" w:cs="Arial"/>
          <w:color w:val="2F5496" w:themeColor="accent1" w:themeShade="BF"/>
        </w:rPr>
        <w:t xml:space="preserve"> Myoglobin</w:t>
      </w:r>
      <w:r w:rsidR="00705996">
        <w:rPr>
          <w:rFonts w:ascii="Arial" w:hAnsi="Arial" w:cs="Arial"/>
          <w:color w:val="2F5496" w:themeColor="accent1" w:themeShade="BF"/>
        </w:rPr>
        <w:t xml:space="preserve"> </w:t>
      </w:r>
      <w:r w:rsidR="00B13E8A" w:rsidRPr="001B71A3">
        <w:rPr>
          <w:rFonts w:ascii="Arial" w:hAnsi="Arial" w:cs="Arial"/>
          <w:color w:val="2F5496" w:themeColor="accent1" w:themeShade="BF"/>
        </w:rPr>
        <w:t>Messung</w:t>
      </w:r>
      <w:r w:rsidR="00DE5271" w:rsidRPr="001B71A3">
        <w:rPr>
          <w:rFonts w:ascii="Arial" w:hAnsi="Arial" w:cs="Arial"/>
          <w:color w:val="2F5496" w:themeColor="accent1" w:themeShade="BF"/>
        </w:rPr>
        <w:t>)</w:t>
      </w:r>
      <w:bookmarkEnd w:id="7"/>
    </w:p>
    <w:p w14:paraId="0AF49316" w14:textId="77777777" w:rsidR="00B13E8A" w:rsidRDefault="00B13E8A" w:rsidP="00B13E8A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683E0F0F" w14:textId="77777777" w:rsidR="008A2A47" w:rsidRPr="008C695C" w:rsidRDefault="008A2A47" w:rsidP="008A2A47">
      <w:pPr>
        <w:spacing w:line="276" w:lineRule="auto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Ausführlich:</w:t>
      </w:r>
    </w:p>
    <w:p w14:paraId="0DBF27E1" w14:textId="467DE4F4" w:rsidR="00C37D99" w:rsidRDefault="00C37D99" w:rsidP="00BB0056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Bei dem Patienten war </w:t>
      </w:r>
      <w:r w:rsidRPr="006D75CB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mittlerweile ein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e ausgeprägte Rhabdomyolyse, angezeigt durch sehr hohe </w:t>
      </w:r>
      <w:r w:rsidRPr="00B13E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(bzw. weiter steigende)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Creatin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-Kinase (CK) Werte von xxx gegeben. </w:t>
      </w:r>
      <w:r w:rsidRPr="00B13E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Dadurch war auch von deutlich erhöhten Myoglobin-Werten und somit dem Risiko für die Entwicklung einer </w:t>
      </w:r>
      <w:r w:rsidRPr="00B13E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(bzw. Zunahme der)</w:t>
      </w:r>
      <w:r w:rsidRPr="00B13E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akuten Nierenfunktionsstörung auszugehen.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Am 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kam bei dem Patienten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daher </w:t>
      </w:r>
      <w:r w:rsidR="0090040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eine Hämoadsorption 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zum Einsatz. Der Cytosorb Adsorber diente der</w:t>
      </w:r>
      <w:r w:rsidR="00B13E8A" w:rsidRPr="00B13E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raschen und effektiven</w:t>
      </w:r>
      <w:r w:rsidR="00B13E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Entfernung von Myoglobin aus dem Blut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. </w:t>
      </w:r>
      <w:r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Der Adsorber wurde dabei / in den extrakorporalen Kreislauf einer parallel indizierten</w:t>
      </w:r>
      <w:r w:rsidR="0014458F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/laufenden</w:t>
      </w:r>
      <w:r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Nierenersatztherapie / ECMO </w:t>
      </w:r>
      <w:proofErr w:type="gramStart"/>
      <w:r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integriert.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*</w:t>
      </w:r>
      <w:proofErr w:type="gramEnd"/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Um bei (anzunehmend) drastisch erhöhten Myoglobin-Spiegeln eine anhaltend hohe Entfernungskapazität aufrecht zu erhalten und somit eine </w:t>
      </w:r>
      <w:proofErr w:type="gramStart"/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essentielle</w:t>
      </w:r>
      <w:proofErr w:type="gramEnd"/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rasche klinische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lastRenderedPageBreak/>
        <w:t xml:space="preserve">Verbesserung zu unterstützen, war es medizinisch angezeigt,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die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Hämoadsorption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bis zum 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fortzuführen und die Adsorber (</w:t>
      </w:r>
      <w:r w:rsidRPr="00B45EF1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mehrfach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/x-Mal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 zu wechseln.</w:t>
      </w:r>
    </w:p>
    <w:p w14:paraId="68DCB1B6" w14:textId="4415E51C" w:rsidR="00BB0056" w:rsidRPr="006E6C6D" w:rsidRDefault="00BB0056" w:rsidP="006E6C6D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Die Hämoadsorption wurde nach effektiver Senkung des </w:t>
      </w:r>
      <w:r w:rsidRPr="0087170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Myoglobin</w:t>
      </w:r>
      <w:r w:rsidR="00EF5B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-S</w:t>
      </w:r>
      <w:r w:rsidRPr="0087170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piegels 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am </w:t>
      </w:r>
      <w:r w:rsidRPr="0087170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XX.XX.202</w:t>
      </w:r>
      <w:r w:rsidR="0077192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6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beendet.</w:t>
      </w:r>
    </w:p>
    <w:p w14:paraId="25ED5CDA" w14:textId="1E0FEE7D" w:rsidR="001F25F8" w:rsidRDefault="001F25F8" w:rsidP="00B13E8A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0E3B9B98" w14:textId="04F05EE0" w:rsidR="001B71A3" w:rsidRPr="00705996" w:rsidRDefault="001B71A3" w:rsidP="00705996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* Wenn die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Hämoadsorption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Stand-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alone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mit der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Purifi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Maschine angewandt wird, entfällt dieser Satz.</w:t>
      </w:r>
    </w:p>
    <w:p w14:paraId="0D1DB1F4" w14:textId="77777777" w:rsidR="001B71A3" w:rsidRDefault="001B71A3" w:rsidP="00B13E8A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72886520" w14:textId="77777777" w:rsidR="008A2A47" w:rsidRPr="008C695C" w:rsidRDefault="008A2A47" w:rsidP="008A2A47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8C695C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Kurzform:</w:t>
      </w:r>
    </w:p>
    <w:p w14:paraId="0BDF78FA" w14:textId="37990AC1" w:rsidR="008A2A47" w:rsidRDefault="008A2A47" w:rsidP="008A2A47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Aufgrund der mittlerweile ausgeprägten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Rhabdomyolyse, angezeigt durch sehr hohe </w:t>
      </w:r>
      <w:r w:rsidRPr="00B13E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(bzw. weiter steigende)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Creatin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-Kinase (CK) Werte von XXX, </w:t>
      </w:r>
      <w:r w:rsidRPr="00B13E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war auch von deutlich erhöhten Myoglobin-Werten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auszugehen. Daher</w:t>
      </w:r>
      <w:r w:rsidRPr="006E6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wurde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um die erhöhten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Myoglobinspiegel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senken.</w:t>
      </w:r>
    </w:p>
    <w:p w14:paraId="2C4D2890" w14:textId="77777777" w:rsidR="008A2A47" w:rsidRDefault="008A2A47" w:rsidP="008A2A47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8543A57" w14:textId="77777777" w:rsidR="008A2A47" w:rsidRPr="008A2A47" w:rsidRDefault="008A2A47" w:rsidP="008A2A47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AFDE02A" w14:textId="78A59037" w:rsidR="002B6B4E" w:rsidRPr="001B71A3" w:rsidRDefault="00A61CE2" w:rsidP="00705996">
      <w:pPr>
        <w:pStyle w:val="berschrift3"/>
        <w:numPr>
          <w:ilvl w:val="1"/>
          <w:numId w:val="13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8" w:name="_Toc189143474"/>
      <w:proofErr w:type="spellStart"/>
      <w:r w:rsidRPr="001B71A3">
        <w:rPr>
          <w:rFonts w:ascii="Arial" w:hAnsi="Arial" w:cs="Arial"/>
          <w:color w:val="2F5496" w:themeColor="accent1" w:themeShade="BF"/>
        </w:rPr>
        <w:t>Hämoadsorption</w:t>
      </w:r>
      <w:proofErr w:type="spellEnd"/>
      <w:r w:rsidRPr="001B71A3">
        <w:rPr>
          <w:rFonts w:ascii="Arial" w:hAnsi="Arial" w:cs="Arial"/>
          <w:color w:val="2F5496" w:themeColor="accent1" w:themeShade="BF"/>
        </w:rPr>
        <w:t>/</w:t>
      </w:r>
      <w:proofErr w:type="spellStart"/>
      <w:r w:rsidR="002B6B4E" w:rsidRPr="001B71A3">
        <w:rPr>
          <w:rFonts w:ascii="Arial" w:hAnsi="Arial" w:cs="Arial"/>
          <w:color w:val="2F5496" w:themeColor="accent1" w:themeShade="BF"/>
        </w:rPr>
        <w:t>CytoSorb</w:t>
      </w:r>
      <w:proofErr w:type="spellEnd"/>
      <w:r w:rsidR="002B6B4E" w:rsidRPr="001B71A3">
        <w:rPr>
          <w:rFonts w:ascii="Arial" w:hAnsi="Arial" w:cs="Arial"/>
          <w:color w:val="2F5496" w:themeColor="accent1" w:themeShade="BF"/>
        </w:rPr>
        <w:t xml:space="preserve"> </w:t>
      </w:r>
      <w:r w:rsidR="00DE5271" w:rsidRPr="001B71A3">
        <w:rPr>
          <w:rFonts w:ascii="Arial" w:hAnsi="Arial" w:cs="Arial"/>
          <w:color w:val="2F5496" w:themeColor="accent1" w:themeShade="BF"/>
        </w:rPr>
        <w:t xml:space="preserve">zur </w:t>
      </w:r>
      <w:proofErr w:type="spellStart"/>
      <w:r w:rsidR="00DE5271" w:rsidRPr="001B71A3">
        <w:rPr>
          <w:rFonts w:ascii="Arial" w:hAnsi="Arial" w:cs="Arial"/>
          <w:color w:val="2F5496" w:themeColor="accent1" w:themeShade="BF"/>
        </w:rPr>
        <w:t>Myoglobinentfernung</w:t>
      </w:r>
      <w:proofErr w:type="spellEnd"/>
      <w:r w:rsidR="00DE5271" w:rsidRPr="001B71A3">
        <w:rPr>
          <w:rFonts w:ascii="Arial" w:hAnsi="Arial" w:cs="Arial"/>
          <w:color w:val="2F5496" w:themeColor="accent1" w:themeShade="BF"/>
        </w:rPr>
        <w:t xml:space="preserve"> (</w:t>
      </w:r>
      <w:r w:rsidR="002B6B4E" w:rsidRPr="001B71A3">
        <w:rPr>
          <w:rFonts w:ascii="Arial" w:hAnsi="Arial" w:cs="Arial"/>
          <w:color w:val="2F5496" w:themeColor="accent1" w:themeShade="BF"/>
        </w:rPr>
        <w:t>Rhabdomyolyse</w:t>
      </w:r>
      <w:r w:rsidR="00B13E8A" w:rsidRPr="001B71A3">
        <w:rPr>
          <w:rFonts w:ascii="Arial" w:hAnsi="Arial" w:cs="Arial"/>
          <w:color w:val="2F5496" w:themeColor="accent1" w:themeShade="BF"/>
        </w:rPr>
        <w:t xml:space="preserve">, </w:t>
      </w:r>
      <w:r w:rsidR="00B13E8A" w:rsidRPr="00705996">
        <w:rPr>
          <w:rFonts w:ascii="Arial" w:hAnsi="Arial" w:cs="Arial"/>
          <w:i/>
          <w:iCs/>
          <w:color w:val="2F5496" w:themeColor="accent1" w:themeShade="BF"/>
          <w:u w:val="single"/>
        </w:rPr>
        <w:t>mit</w:t>
      </w:r>
      <w:r w:rsidR="00B13E8A" w:rsidRPr="001B71A3">
        <w:rPr>
          <w:rFonts w:ascii="Arial" w:hAnsi="Arial" w:cs="Arial"/>
          <w:color w:val="2F5496" w:themeColor="accent1" w:themeShade="BF"/>
        </w:rPr>
        <w:t xml:space="preserve"> Myoglobin</w:t>
      </w:r>
      <w:r w:rsidR="00705996">
        <w:rPr>
          <w:rFonts w:ascii="Arial" w:hAnsi="Arial" w:cs="Arial"/>
          <w:color w:val="2F5496" w:themeColor="accent1" w:themeShade="BF"/>
        </w:rPr>
        <w:t xml:space="preserve"> </w:t>
      </w:r>
      <w:r w:rsidR="00B13E8A" w:rsidRPr="001B71A3">
        <w:rPr>
          <w:rFonts w:ascii="Arial" w:hAnsi="Arial" w:cs="Arial"/>
          <w:color w:val="2F5496" w:themeColor="accent1" w:themeShade="BF"/>
        </w:rPr>
        <w:t>Messung</w:t>
      </w:r>
      <w:r w:rsidR="00DE5271" w:rsidRPr="001B71A3">
        <w:rPr>
          <w:rFonts w:ascii="Arial" w:hAnsi="Arial" w:cs="Arial"/>
          <w:color w:val="2F5496" w:themeColor="accent1" w:themeShade="BF"/>
        </w:rPr>
        <w:t>)</w:t>
      </w:r>
      <w:bookmarkEnd w:id="8"/>
    </w:p>
    <w:p w14:paraId="4B017928" w14:textId="77777777" w:rsidR="006C1D49" w:rsidRDefault="006C1D49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3A5CE7FC" w14:textId="69AA1484" w:rsidR="00EB4B1C" w:rsidRPr="00705996" w:rsidRDefault="00EB4B1C" w:rsidP="00035699">
      <w:pPr>
        <w:spacing w:line="276" w:lineRule="auto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Ausführlich:</w:t>
      </w:r>
    </w:p>
    <w:p w14:paraId="0E35700B" w14:textId="13252077" w:rsidR="00BB0056" w:rsidRDefault="006D75CB" w:rsidP="0014458F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Bei dem Patienten war </w:t>
      </w:r>
      <w:r w:rsidRPr="006D75CB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mittlerweile ein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e ausgeprägte Rhabdomyolyse mit deutlich erhöhte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m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(</w:t>
      </w:r>
      <w:r w:rsidRPr="0038372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bzw. weiter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steigenden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</w:t>
      </w:r>
      <w:r w:rsidR="00BB0056"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Myoglobin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B0056" w:rsidRPr="006E6C6D">
        <w:rPr>
          <w:rFonts w:ascii="Arial" w:hAnsi="Arial" w:cs="Arial"/>
          <w:sz w:val="20"/>
          <w:szCs w:val="20"/>
        </w:rPr>
        <w:t xml:space="preserve">mit </w:t>
      </w:r>
      <w:r w:rsidR="00BB0056"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Maximalwerten von </w:t>
      </w:r>
      <w:r w:rsidR="00BB0056"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XXX µg/l (</w:t>
      </w:r>
      <w:r w:rsidR="00EB4B1C"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Referenzbereich</w:t>
      </w:r>
      <w:r w:rsid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: </w:t>
      </w:r>
      <w:r w:rsidR="00697915"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&lt; 58 </w:t>
      </w:r>
      <w:proofErr w:type="spellStart"/>
      <w:r w:rsidR="00697915"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ng</w:t>
      </w:r>
      <w:proofErr w:type="spellEnd"/>
      <w:r w:rsidR="00697915"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/ml</w:t>
      </w:r>
      <w:r w:rsidR="00BB0056"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</w:t>
      </w:r>
      <w:r w:rsidR="00BB0056"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  <w:r w:rsidR="00C37D9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gegeben. Diese Situation barg ein </w:t>
      </w:r>
      <w:r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Risiko f</w:t>
      </w:r>
      <w:r w:rsidRPr="00697915">
        <w:rPr>
          <w:rFonts w:ascii="ArialMT" w:eastAsia="Times New Roman" w:hAnsi="ArialMT" w:cs="Times New Roman" w:hint="eastAsia"/>
          <w:color w:val="000000"/>
          <w:sz w:val="20"/>
          <w:szCs w:val="20"/>
          <w:lang w:eastAsia="de-DE"/>
        </w:rPr>
        <w:t>ü</w:t>
      </w:r>
      <w:r w:rsidRPr="0069791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r die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Entwicklung einer (</w:t>
      </w:r>
      <w:r w:rsidRPr="0038372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bzw. Zunahme der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) akuten Nierenfunktionsstörung. Zur raschen und effektiven Entfernung von Myoglobin aus dem Blut 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war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daher 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eine </w:t>
      </w:r>
      <w:proofErr w:type="spellStart"/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Hämoadsorption</w:t>
      </w:r>
      <w:proofErr w:type="spellEnd"/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mit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CytoSorb</w:t>
      </w:r>
      <w:proofErr w:type="spellEnd"/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Adsorbern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indiziert. </w:t>
      </w:r>
      <w:r w:rsidR="00BB0056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Der Adsorber wurde dabei / in den extrakorporalen Kreislauf einer parallel indizierten</w:t>
      </w:r>
      <w:r w:rsidR="00EB4B1C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/laufenden</w:t>
      </w:r>
      <w:r w:rsidR="00BB0056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Nierenersatztherapie / ECMO </w:t>
      </w:r>
      <w:proofErr w:type="gramStart"/>
      <w:r w:rsidR="00BB0056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integriert.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*</w:t>
      </w:r>
      <w:proofErr w:type="gramEnd"/>
      <w:r w:rsidR="00C37D99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Um eine anhaltend hohe Entfernungskapazität aufrecht zu erhalten und somit eine </w:t>
      </w:r>
      <w:proofErr w:type="gramStart"/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essentielle</w:t>
      </w:r>
      <w:proofErr w:type="gramEnd"/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rasche klinische Verbesserung zu unterstützen, war es medizinisch angezeigt, 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die </w:t>
      </w:r>
      <w:proofErr w:type="spellStart"/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Hämoadsorption</w:t>
      </w:r>
      <w:proofErr w:type="spellEnd"/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bis zum 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 w:rsidR="00BB005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fortzuführen und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d</w:t>
      </w:r>
      <w:r w:rsidR="00C37D9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ie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Adsorber (</w:t>
      </w:r>
      <w:r w:rsidR="00A87EB6" w:rsidRPr="00B45EF1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mehrfach</w:t>
      </w:r>
      <w:r w:rsidR="00A87EB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/</w:t>
      </w:r>
      <w:r w:rsid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x-Mal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) zu wechseln. </w:t>
      </w:r>
    </w:p>
    <w:p w14:paraId="57C605C1" w14:textId="70DE3E0E" w:rsidR="00BB0056" w:rsidRPr="006E6C6D" w:rsidRDefault="00BB0056" w:rsidP="00BB0056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Die Hämoadsorption wurde nach effektiver Senkung des </w:t>
      </w:r>
      <w:r w:rsidRPr="006E6C6D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Myoglobin</w:t>
      </w:r>
      <w:r w:rsidR="00EF5B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-S</w:t>
      </w:r>
      <w:r w:rsidRPr="006E6C6D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piegels 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am </w:t>
      </w:r>
      <w:r w:rsidRPr="006E6C6D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XX.XX.202</w:t>
      </w:r>
      <w:r w:rsidR="0077192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6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beendet.</w:t>
      </w:r>
    </w:p>
    <w:p w14:paraId="3B289520" w14:textId="77777777" w:rsidR="00EB4B1C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p w14:paraId="7804892C" w14:textId="77777777" w:rsidR="001B71A3" w:rsidRPr="001B71A3" w:rsidRDefault="001B71A3" w:rsidP="001B71A3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* Wenn die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Hämoadsorption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Stand-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alone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mit der </w:t>
      </w:r>
      <w:proofErr w:type="spellStart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Purifi</w:t>
      </w:r>
      <w:proofErr w:type="spellEnd"/>
      <w:r w:rsidRPr="001B71A3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Maschine angewandt wird, entfällt dieser Satz.</w:t>
      </w:r>
    </w:p>
    <w:p w14:paraId="23E45E4B" w14:textId="77777777" w:rsidR="001B71A3" w:rsidRDefault="001B71A3" w:rsidP="00EB4B1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p w14:paraId="16A8824D" w14:textId="599B701B" w:rsidR="00EB4B1C" w:rsidRPr="00705996" w:rsidRDefault="00EB4B1C" w:rsidP="00EB4B1C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Kurzform:</w:t>
      </w:r>
    </w:p>
    <w:p w14:paraId="2D07933E" w14:textId="1ED14B30" w:rsidR="00EB4B1C" w:rsidRDefault="008A2A47" w:rsidP="008A2A47">
      <w:pPr>
        <w:pBdr>
          <w:bottom w:val="single" w:sz="6" w:space="1" w:color="auto"/>
        </w:pBd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Aufgrund der mittlerweile ausgeprägten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Rhabdomyolyse mit deutlich erhöhtem (</w:t>
      </w:r>
      <w:r w:rsidRPr="0038372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bzw. weiter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steigenden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Myoglobin </w:t>
      </w:r>
      <w:r w:rsidRPr="006E6C6D">
        <w:rPr>
          <w:rFonts w:ascii="Arial" w:hAnsi="Arial" w:cs="Arial"/>
          <w:sz w:val="20"/>
          <w:szCs w:val="20"/>
        </w:rPr>
        <w:t>mit Maximalwerten vo</w:t>
      </w:r>
      <w:r>
        <w:rPr>
          <w:rFonts w:ascii="Arial" w:hAnsi="Arial" w:cs="Arial"/>
          <w:sz w:val="20"/>
          <w:szCs w:val="20"/>
        </w:rPr>
        <w:t xml:space="preserve">n </w:t>
      </w:r>
      <w:r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XXX µg/l (Referenzbereich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: XXX</w:t>
      </w:r>
      <w:r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</w:t>
      </w:r>
      <w:r w:rsidRPr="006E6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wurde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um den drastisch erhöhten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Myoglobinspiegel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senken.</w:t>
      </w:r>
    </w:p>
    <w:p w14:paraId="6C15889A" w14:textId="77777777" w:rsidR="008A2A47" w:rsidRDefault="008A2A47" w:rsidP="008A2A47">
      <w:pPr>
        <w:pBdr>
          <w:bottom w:val="single" w:sz="6" w:space="1" w:color="auto"/>
        </w:pBd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32F48CEE" w14:textId="77777777" w:rsidR="0014458F" w:rsidRDefault="0014458F" w:rsidP="00035699">
      <w:pPr>
        <w:pBdr>
          <w:bottom w:val="single" w:sz="6" w:space="1" w:color="auto"/>
        </w:pBd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2412CFAA" w14:textId="77777777" w:rsidR="00DB6A31" w:rsidRDefault="00DB6A31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2E86547A" w14:textId="77777777" w:rsidR="0014458F" w:rsidRDefault="0014458F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14F61A39" w14:textId="1FB9B99A" w:rsidR="006C1D49" w:rsidRPr="001B71A3" w:rsidRDefault="00A61CE2" w:rsidP="00705996">
      <w:pPr>
        <w:pStyle w:val="berschrift3"/>
        <w:numPr>
          <w:ilvl w:val="1"/>
          <w:numId w:val="13"/>
        </w:numPr>
        <w:spacing w:before="0" w:line="276" w:lineRule="auto"/>
        <w:rPr>
          <w:rFonts w:ascii="Arial" w:hAnsi="Arial" w:cs="Arial"/>
          <w:color w:val="2F5496" w:themeColor="accent1" w:themeShade="BF"/>
        </w:rPr>
      </w:pPr>
      <w:bookmarkStart w:id="9" w:name="_Toc189143475"/>
      <w:proofErr w:type="spellStart"/>
      <w:r w:rsidRPr="001B71A3">
        <w:rPr>
          <w:rFonts w:ascii="Arial" w:hAnsi="Arial" w:cs="Arial"/>
          <w:color w:val="2F5496" w:themeColor="accent1" w:themeShade="BF"/>
        </w:rPr>
        <w:t>Hämoadsorption</w:t>
      </w:r>
      <w:proofErr w:type="spellEnd"/>
      <w:r w:rsidRPr="001B71A3">
        <w:rPr>
          <w:rFonts w:ascii="Arial" w:hAnsi="Arial" w:cs="Arial"/>
          <w:color w:val="2F5496" w:themeColor="accent1" w:themeShade="BF"/>
        </w:rPr>
        <w:t>/</w:t>
      </w:r>
      <w:proofErr w:type="spellStart"/>
      <w:r w:rsidR="002B6B4E" w:rsidRPr="001B71A3">
        <w:rPr>
          <w:rFonts w:ascii="Arial" w:hAnsi="Arial" w:cs="Arial"/>
          <w:color w:val="2F5496" w:themeColor="accent1" w:themeShade="BF"/>
        </w:rPr>
        <w:t>CytoSorb</w:t>
      </w:r>
      <w:proofErr w:type="spellEnd"/>
      <w:r w:rsidR="002B6B4E" w:rsidRPr="001B71A3">
        <w:rPr>
          <w:rFonts w:ascii="Arial" w:hAnsi="Arial" w:cs="Arial"/>
          <w:color w:val="2F5496" w:themeColor="accent1" w:themeShade="BF"/>
        </w:rPr>
        <w:t xml:space="preserve"> </w:t>
      </w:r>
      <w:r w:rsidR="00DE5271" w:rsidRPr="001B71A3">
        <w:rPr>
          <w:rFonts w:ascii="Arial" w:hAnsi="Arial" w:cs="Arial"/>
          <w:color w:val="2F5496" w:themeColor="accent1" w:themeShade="BF"/>
        </w:rPr>
        <w:t xml:space="preserve">zur </w:t>
      </w:r>
      <w:proofErr w:type="spellStart"/>
      <w:r w:rsidR="00DE5271" w:rsidRPr="001B71A3">
        <w:rPr>
          <w:rFonts w:ascii="Arial" w:hAnsi="Arial" w:cs="Arial"/>
          <w:color w:val="2F5496" w:themeColor="accent1" w:themeShade="BF"/>
        </w:rPr>
        <w:t>Bilirubinentfernung</w:t>
      </w:r>
      <w:proofErr w:type="spellEnd"/>
      <w:r w:rsidR="00DE5271" w:rsidRPr="001B71A3">
        <w:rPr>
          <w:rFonts w:ascii="Arial" w:hAnsi="Arial" w:cs="Arial"/>
          <w:color w:val="2F5496" w:themeColor="accent1" w:themeShade="BF"/>
        </w:rPr>
        <w:t xml:space="preserve"> (</w:t>
      </w:r>
      <w:r w:rsidR="002B6B4E" w:rsidRPr="001B71A3">
        <w:rPr>
          <w:rFonts w:ascii="Arial" w:hAnsi="Arial" w:cs="Arial"/>
          <w:color w:val="2F5496" w:themeColor="accent1" w:themeShade="BF"/>
        </w:rPr>
        <w:t>Leberversagen</w:t>
      </w:r>
      <w:r w:rsidRPr="001B71A3">
        <w:rPr>
          <w:rFonts w:ascii="Arial" w:hAnsi="Arial" w:cs="Arial"/>
          <w:color w:val="2F5496" w:themeColor="accent1" w:themeShade="BF"/>
        </w:rPr>
        <w:t>, mit Bilirubin</w:t>
      </w:r>
      <w:r w:rsidR="00705996">
        <w:rPr>
          <w:rFonts w:ascii="Arial" w:hAnsi="Arial" w:cs="Arial"/>
          <w:color w:val="2F5496" w:themeColor="accent1" w:themeShade="BF"/>
        </w:rPr>
        <w:t xml:space="preserve"> </w:t>
      </w:r>
      <w:r w:rsidRPr="001B71A3">
        <w:rPr>
          <w:rFonts w:ascii="Arial" w:hAnsi="Arial" w:cs="Arial"/>
          <w:color w:val="2F5496" w:themeColor="accent1" w:themeShade="BF"/>
        </w:rPr>
        <w:t>Messung</w:t>
      </w:r>
      <w:r w:rsidR="00DE5271" w:rsidRPr="001B71A3">
        <w:rPr>
          <w:rFonts w:ascii="Arial" w:hAnsi="Arial" w:cs="Arial"/>
          <w:color w:val="2F5496" w:themeColor="accent1" w:themeShade="BF"/>
        </w:rPr>
        <w:t>)</w:t>
      </w:r>
      <w:bookmarkEnd w:id="9"/>
    </w:p>
    <w:p w14:paraId="524ECD4C" w14:textId="77777777" w:rsidR="006C1D49" w:rsidRDefault="006C1D49" w:rsidP="00035699">
      <w:pPr>
        <w:spacing w:line="276" w:lineRule="auto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</w:p>
    <w:p w14:paraId="493079B8" w14:textId="021F72C8" w:rsidR="00705996" w:rsidRPr="00705996" w:rsidRDefault="00705996" w:rsidP="00705996">
      <w:pPr>
        <w:spacing w:line="276" w:lineRule="auto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Ausführlich:</w:t>
      </w:r>
    </w:p>
    <w:p w14:paraId="643A28CE" w14:textId="4E71D6B6" w:rsidR="006C1D49" w:rsidRDefault="006C1D49" w:rsidP="001B71A3">
      <w:pPr>
        <w:spacing w:line="276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</w:pP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Bei dem Patienten war</w:t>
      </w:r>
      <w:r w:rsidR="0003569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mittlerweile</w:t>
      </w:r>
      <w:r w:rsidRPr="006D75CB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ein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e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ausgeprägte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zunehmende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 Leberfunktionsstörung gegeben mit deutlich erhöhten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bzw. weiter steigenden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 Werten von Bilirubin. Der MELD-Score / Child-Pugh-Score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sofern verfügbar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 betrug XXX und die Gallensäuren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sofern verfügbar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 sowie die Leberenzyme waren ebenfalls deutlich erhöht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sofern zutreffend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). Zur Unterstützung der Leberfunktion durch Entfernung von Bilirubin aus dem Blut (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sowie zur Modulation der begleitend </w:t>
      </w:r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lastRenderedPageBreak/>
        <w:t xml:space="preserve">vorliegenden systemischen </w:t>
      </w:r>
      <w:proofErr w:type="spellStart"/>
      <w:r w:rsidRPr="006C1D49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Hyperinflammation</w:t>
      </w:r>
      <w:proofErr w:type="spellEnd"/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) wurde daher </w:t>
      </w:r>
      <w:r w:rsidR="00EF5B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eine Hämoadsorption 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als indiziert angesehen. </w:t>
      </w:r>
      <w:r w:rsidR="00EF5B8A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Der Adsorber wurde dabei / in den extrakorporalen Kreislauf einer parallel indizierten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/laufenden</w:t>
      </w:r>
      <w:r w:rsidR="00EF5B8A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Nierenersatztherapie / ECMO </w:t>
      </w:r>
      <w:proofErr w:type="gramStart"/>
      <w:r w:rsidR="00EF5B8A" w:rsidRPr="00871704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integriert.</w:t>
      </w:r>
      <w:r w:rsidR="001B71A3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*</w:t>
      </w:r>
      <w:proofErr w:type="gramEnd"/>
      <w:r w:rsidR="00EF5B8A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Um bei drastisch</w:t>
      </w:r>
      <w:r w:rsidR="00752495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(deutlich?)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erhöhten Bilirubin-Spiegeln eine anhaltend hohe Entfernungskapazität aufrecht zu erhalten und somit eine essentielle rasche klinische Verbesserung zu unterstützen, war es medizinisch angezeigt, </w:t>
      </w:r>
      <w:r w:rsidR="00EF5B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die </w:t>
      </w:r>
      <w:proofErr w:type="spellStart"/>
      <w:r w:rsidR="00EF5B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Hämoadsorption</w:t>
      </w:r>
      <w:proofErr w:type="spellEnd"/>
      <w:r w:rsidR="00EF5B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bis zum XX.XX.202</w:t>
      </w:r>
      <w:r w:rsidR="0077192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6</w:t>
      </w:r>
      <w:r w:rsidR="00EF5B8A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fortzuführen und die Adsorber 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(</w:t>
      </w:r>
      <w:r w:rsidR="00A87EB6" w:rsidRPr="00B45EF1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mehrfach</w:t>
      </w:r>
      <w:r w:rsidR="00A87EB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/</w:t>
      </w:r>
      <w:r w:rsidR="00EF5B8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x-Mal)</w:t>
      </w:r>
      <w:r w:rsidR="00A87EB6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zu wechseln.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 </w:t>
      </w:r>
    </w:p>
    <w:p w14:paraId="6FD8457B" w14:textId="5E0F1BFE" w:rsidR="00EF5B8A" w:rsidRPr="00871704" w:rsidRDefault="00EF5B8A" w:rsidP="00EF5B8A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Die Hämoadsorption wurde nach effektiver Senkung des</w:t>
      </w:r>
      <w:r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Bilirubin-S</w:t>
      </w:r>
      <w:r w:rsidRPr="0087170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piegels 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am </w:t>
      </w:r>
      <w:r w:rsidRPr="00871704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XX.XX.202</w:t>
      </w:r>
      <w:r w:rsidR="0077192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>6</w:t>
      </w:r>
      <w:r w:rsidRPr="00BB0056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 beendet.</w:t>
      </w:r>
    </w:p>
    <w:p w14:paraId="3D896553" w14:textId="77777777" w:rsidR="006C1D49" w:rsidRDefault="006C1D49" w:rsidP="00035699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719FAF30" w14:textId="4FDB6B7F" w:rsidR="00DB6A31" w:rsidRPr="00705996" w:rsidRDefault="001B71A3" w:rsidP="001B71A3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* Wenn die </w:t>
      </w:r>
      <w:proofErr w:type="spellStart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Hämoadsorption</w:t>
      </w:r>
      <w:proofErr w:type="spellEnd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Stand-</w:t>
      </w:r>
      <w:proofErr w:type="spellStart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alone</w:t>
      </w:r>
      <w:proofErr w:type="spellEnd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mit der </w:t>
      </w:r>
      <w:proofErr w:type="spellStart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Purifi</w:t>
      </w:r>
      <w:proofErr w:type="spellEnd"/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 xml:space="preserve"> Maschine angewandt wird, entfällt dieser Satz.</w:t>
      </w:r>
    </w:p>
    <w:p w14:paraId="5A5866C5" w14:textId="77777777" w:rsidR="00705996" w:rsidRDefault="00705996" w:rsidP="001B71A3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p w14:paraId="7C936B34" w14:textId="77777777" w:rsidR="00705996" w:rsidRPr="00705996" w:rsidRDefault="00705996" w:rsidP="00705996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</w:pPr>
      <w:r w:rsidRPr="00705996">
        <w:rPr>
          <w:rFonts w:ascii="ArialMT" w:eastAsia="Times New Roman" w:hAnsi="ArialMT" w:cs="Times New Roman"/>
          <w:i/>
          <w:iCs/>
          <w:color w:val="7F7F7F" w:themeColor="text1" w:themeTint="80"/>
          <w:sz w:val="20"/>
          <w:szCs w:val="20"/>
          <w:lang w:eastAsia="de-DE"/>
        </w:rPr>
        <w:t>Kurzform:</w:t>
      </w:r>
    </w:p>
    <w:p w14:paraId="3E84A932" w14:textId="38340365" w:rsidR="00705996" w:rsidRDefault="00705996" w:rsidP="00705996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Aufgrund der mittlerweile ausgeprägten </w:t>
      </w:r>
      <w:r w:rsidRPr="006C1D49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Leberfunktionsstörung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>mit deutlich erhöhtem (</w:t>
      </w:r>
      <w:r w:rsidRPr="0038372A"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  <w:t xml:space="preserve">bzw. weiter </w:t>
      </w:r>
      <w:r w:rsidRPr="006E6C6D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steigenden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Bilirubin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E6C6D">
        <w:rPr>
          <w:rFonts w:ascii="Arial" w:hAnsi="Arial" w:cs="Arial"/>
          <w:sz w:val="20"/>
          <w:szCs w:val="20"/>
        </w:rPr>
        <w:t>mit Maximalwerten vo</w:t>
      </w:r>
      <w:r>
        <w:rPr>
          <w:rFonts w:ascii="Arial" w:hAnsi="Arial" w:cs="Arial"/>
          <w:sz w:val="20"/>
          <w:szCs w:val="20"/>
        </w:rPr>
        <w:t xml:space="preserve">n </w:t>
      </w:r>
      <w:r w:rsidRPr="00EB4B1C">
        <w:rPr>
          <w:rFonts w:ascii="ArialMT" w:eastAsia="Times New Roman" w:hAnsi="ArialMT" w:cs="Times New Roman"/>
          <w:color w:val="000000"/>
          <w:sz w:val="20"/>
          <w:szCs w:val="20"/>
          <w:lang w:eastAsia="de-DE"/>
        </w:rPr>
        <w:t xml:space="preserve">XXX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wurde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XX.XX.202</w:t>
      </w:r>
      <w:r w:rsidR="007719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</w:t>
      </w:r>
      <w:r w:rsidRPr="006E6C6D">
        <w:rPr>
          <w:rFonts w:ascii="Arial" w:eastAsia="Times New Roman" w:hAnsi="Arial" w:cs="Arial" w:hint="eastAsia"/>
          <w:color w:val="000000"/>
          <w:sz w:val="20"/>
          <w:szCs w:val="20"/>
          <w:lang w:eastAsia="de-DE"/>
        </w:rPr>
        <w:t>ä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moadsorption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proofErr w:type="spellStart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CytoSorb</w:t>
      </w:r>
      <w:proofErr w:type="spellEnd"/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Adsorber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6E6C6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gestartet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um den drastisch erhöhten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Bilirubinspiegel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senken.</w:t>
      </w:r>
    </w:p>
    <w:p w14:paraId="11C98F84" w14:textId="77777777" w:rsidR="00705996" w:rsidRPr="001B71A3" w:rsidRDefault="00705996" w:rsidP="00705996">
      <w:pPr>
        <w:spacing w:line="276" w:lineRule="auto"/>
        <w:jc w:val="both"/>
        <w:rPr>
          <w:rFonts w:ascii="ArialMT" w:eastAsia="Times New Roman" w:hAnsi="ArialMT" w:cs="Times New Roman"/>
          <w:i/>
          <w:iCs/>
          <w:color w:val="000000"/>
          <w:sz w:val="20"/>
          <w:szCs w:val="20"/>
          <w:lang w:eastAsia="de-DE"/>
        </w:rPr>
      </w:pPr>
    </w:p>
    <w:sectPr w:rsidR="00705996" w:rsidRPr="001B71A3" w:rsidSect="00705996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417" w:right="183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EF90" w14:textId="77777777" w:rsidR="008E2C30" w:rsidRDefault="008E2C30" w:rsidP="00FB04F4">
      <w:r>
        <w:separator/>
      </w:r>
    </w:p>
  </w:endnote>
  <w:endnote w:type="continuationSeparator" w:id="0">
    <w:p w14:paraId="61A1A95A" w14:textId="77777777" w:rsidR="008E2C30" w:rsidRDefault="008E2C30" w:rsidP="00F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08299582"/>
      <w:docPartObj>
        <w:docPartGallery w:val="Page Numbers (Bottom of Page)"/>
        <w:docPartUnique/>
      </w:docPartObj>
    </w:sdtPr>
    <w:sdtContent>
      <w:p w14:paraId="10D033DB" w14:textId="3C413FF7" w:rsidR="00DE7779" w:rsidRDefault="00DE7779" w:rsidP="00941BA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13E8A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CE8BD47" w14:textId="77777777" w:rsidR="00DE7779" w:rsidRDefault="00DE7779" w:rsidP="00DE777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04658224"/>
      <w:docPartObj>
        <w:docPartGallery w:val="Page Numbers (Bottom of Page)"/>
        <w:docPartUnique/>
      </w:docPartObj>
    </w:sdtPr>
    <w:sdtEndPr>
      <w:rPr>
        <w:rStyle w:val="Seitenzahl"/>
        <w:rFonts w:ascii="Calibri" w:hAnsi="Calibri" w:cs="Calibri"/>
        <w:sz w:val="20"/>
        <w:szCs w:val="20"/>
      </w:rPr>
    </w:sdtEndPr>
    <w:sdtContent>
      <w:p w14:paraId="6FA3B773" w14:textId="0E47099E" w:rsidR="00DE7779" w:rsidRPr="00B13E8A" w:rsidRDefault="00DE7779" w:rsidP="00941BAC">
        <w:pPr>
          <w:pStyle w:val="Fuzeile"/>
          <w:framePr w:wrap="none" w:vAnchor="text" w:hAnchor="margin" w:xAlign="right" w:y="1"/>
          <w:rPr>
            <w:rStyle w:val="Seitenzahl"/>
            <w:rFonts w:ascii="Calibri" w:hAnsi="Calibri" w:cs="Calibri"/>
            <w:sz w:val="20"/>
            <w:szCs w:val="20"/>
          </w:rPr>
        </w:pPr>
        <w:r w:rsidRPr="00B13E8A">
          <w:rPr>
            <w:rStyle w:val="Seitenzahl"/>
            <w:rFonts w:ascii="Calibri" w:hAnsi="Calibri" w:cs="Calibri"/>
            <w:sz w:val="20"/>
            <w:szCs w:val="20"/>
          </w:rPr>
          <w:fldChar w:fldCharType="begin"/>
        </w:r>
        <w:r w:rsidRPr="00B13E8A">
          <w:rPr>
            <w:rStyle w:val="Seitenzahl"/>
            <w:rFonts w:ascii="Calibri" w:hAnsi="Calibri" w:cs="Calibri"/>
            <w:sz w:val="20"/>
            <w:szCs w:val="20"/>
          </w:rPr>
          <w:instrText xml:space="preserve"> PAGE </w:instrText>
        </w:r>
        <w:r w:rsidRPr="00B13E8A">
          <w:rPr>
            <w:rStyle w:val="Seitenzahl"/>
            <w:rFonts w:ascii="Calibri" w:hAnsi="Calibri" w:cs="Calibri"/>
            <w:sz w:val="20"/>
            <w:szCs w:val="20"/>
          </w:rPr>
          <w:fldChar w:fldCharType="separate"/>
        </w:r>
        <w:r w:rsidRPr="00B13E8A">
          <w:rPr>
            <w:rStyle w:val="Seitenzahl"/>
            <w:rFonts w:ascii="Calibri" w:hAnsi="Calibri" w:cs="Calibri"/>
            <w:noProof/>
            <w:sz w:val="20"/>
            <w:szCs w:val="20"/>
          </w:rPr>
          <w:t>4</w:t>
        </w:r>
        <w:r w:rsidRPr="00B13E8A">
          <w:rPr>
            <w:rStyle w:val="Seitenzahl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AE9D905" w14:textId="57F5F136" w:rsidR="00891B36" w:rsidRPr="00B13E8A" w:rsidRDefault="00891B36" w:rsidP="00B13E8A">
    <w:pPr>
      <w:pStyle w:val="Fuzeile"/>
      <w:tabs>
        <w:tab w:val="left" w:pos="5103"/>
      </w:tabs>
      <w:ind w:right="360"/>
      <w:rPr>
        <w:rFonts w:ascii="Calibri" w:hAnsi="Calibri" w:cs="Calibri"/>
        <w:sz w:val="20"/>
        <w:szCs w:val="20"/>
      </w:rPr>
    </w:pPr>
    <w:r w:rsidRPr="00B13E8A">
      <w:rPr>
        <w:rFonts w:ascii="Calibri" w:hAnsi="Calibri" w:cs="Calibri"/>
        <w:sz w:val="20"/>
        <w:szCs w:val="20"/>
      </w:rPr>
      <w:t xml:space="preserve">Stand </w:t>
    </w:r>
    <w:r w:rsidR="00E26185">
      <w:rPr>
        <w:rFonts w:ascii="Calibri" w:hAnsi="Calibri" w:cs="Calibri"/>
        <w:sz w:val="20"/>
        <w:szCs w:val="20"/>
      </w:rPr>
      <w:t>Januar 202</w:t>
    </w:r>
    <w:r w:rsidR="00771926">
      <w:rPr>
        <w:rFonts w:ascii="Calibri" w:hAnsi="Calibri" w:cs="Calibri"/>
        <w:sz w:val="20"/>
        <w:szCs w:val="20"/>
      </w:rPr>
      <w:t>6</w:t>
    </w:r>
    <w:r w:rsidR="00B13E8A" w:rsidRPr="00B13E8A"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6876" w14:textId="1E49F140" w:rsidR="00B13E8A" w:rsidRPr="00B13E8A" w:rsidRDefault="00B13E8A" w:rsidP="00B13E8A">
    <w:pPr>
      <w:pStyle w:val="Fuzeile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E44B" w14:textId="77777777" w:rsidR="008E2C30" w:rsidRDefault="008E2C30" w:rsidP="00FB04F4">
      <w:r>
        <w:separator/>
      </w:r>
    </w:p>
  </w:footnote>
  <w:footnote w:type="continuationSeparator" w:id="0">
    <w:p w14:paraId="40D08914" w14:textId="77777777" w:rsidR="008E2C30" w:rsidRDefault="008E2C30" w:rsidP="00FB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2240" w14:textId="42EBFE17" w:rsidR="00B13E8A" w:rsidRPr="00B13E8A" w:rsidRDefault="00B13E8A" w:rsidP="00B13E8A">
    <w:pPr>
      <w:spacing w:line="360" w:lineRule="auto"/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</w:pPr>
    <w:r w:rsidRPr="00B13E8A"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  <w:t xml:space="preserve">Textbausteine zur Dokumentation der </w:t>
    </w:r>
    <w:proofErr w:type="spellStart"/>
    <w:r w:rsidR="00230FFD"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  <w:t>Hämoadsorption</w:t>
    </w:r>
    <w:proofErr w:type="spellEnd"/>
    <w:r w:rsidR="00230FFD"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  <w:t xml:space="preserve"> mit </w:t>
    </w:r>
    <w:proofErr w:type="spellStart"/>
    <w:r w:rsidRPr="00B13E8A"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  <w:t>CytoSorb</w:t>
    </w:r>
    <w:proofErr w:type="spellEnd"/>
    <w:r w:rsidR="00230FFD">
      <w:rPr>
        <w:rFonts w:ascii="Arial" w:eastAsia="Times New Roman" w:hAnsi="Arial" w:cs="Arial"/>
        <w:color w:val="7F7F7F" w:themeColor="text1" w:themeTint="80"/>
        <w:sz w:val="22"/>
        <w:szCs w:val="22"/>
        <w:lang w:eastAsia="de-DE"/>
      </w:rPr>
      <w:t xml:space="preserve"> Adsorbern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2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60927"/>
    <w:multiLevelType w:val="multilevel"/>
    <w:tmpl w:val="BB50A07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F13C75"/>
    <w:multiLevelType w:val="multilevel"/>
    <w:tmpl w:val="46163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52D11"/>
    <w:multiLevelType w:val="hybridMultilevel"/>
    <w:tmpl w:val="652830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E5AD5"/>
    <w:multiLevelType w:val="hybridMultilevel"/>
    <w:tmpl w:val="5A76FB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14238E"/>
    <w:multiLevelType w:val="multilevel"/>
    <w:tmpl w:val="87CE6F5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81660F"/>
    <w:multiLevelType w:val="hybridMultilevel"/>
    <w:tmpl w:val="4252C9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81C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06675F"/>
    <w:multiLevelType w:val="multilevel"/>
    <w:tmpl w:val="EA382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B66C8"/>
    <w:multiLevelType w:val="hybridMultilevel"/>
    <w:tmpl w:val="7688D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850FE"/>
    <w:multiLevelType w:val="multilevel"/>
    <w:tmpl w:val="CCCE7E5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6938CE"/>
    <w:multiLevelType w:val="multilevel"/>
    <w:tmpl w:val="0BE8335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B95B38"/>
    <w:multiLevelType w:val="multilevel"/>
    <w:tmpl w:val="84289BC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24414892">
    <w:abstractNumId w:val="8"/>
  </w:num>
  <w:num w:numId="2" w16cid:durableId="1987590718">
    <w:abstractNumId w:val="3"/>
  </w:num>
  <w:num w:numId="3" w16cid:durableId="1452898229">
    <w:abstractNumId w:val="9"/>
  </w:num>
  <w:num w:numId="4" w16cid:durableId="2083142299">
    <w:abstractNumId w:val="4"/>
  </w:num>
  <w:num w:numId="5" w16cid:durableId="1891066642">
    <w:abstractNumId w:val="6"/>
  </w:num>
  <w:num w:numId="6" w16cid:durableId="1848397512">
    <w:abstractNumId w:val="0"/>
  </w:num>
  <w:num w:numId="7" w16cid:durableId="1408655000">
    <w:abstractNumId w:val="7"/>
  </w:num>
  <w:num w:numId="8" w16cid:durableId="976757931">
    <w:abstractNumId w:val="12"/>
  </w:num>
  <w:num w:numId="9" w16cid:durableId="969632469">
    <w:abstractNumId w:val="10"/>
  </w:num>
  <w:num w:numId="10" w16cid:durableId="1356348006">
    <w:abstractNumId w:val="11"/>
  </w:num>
  <w:num w:numId="11" w16cid:durableId="517430816">
    <w:abstractNumId w:val="2"/>
  </w:num>
  <w:num w:numId="12" w16cid:durableId="1211527863">
    <w:abstractNumId w:val="5"/>
  </w:num>
  <w:num w:numId="13" w16cid:durableId="7224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98"/>
    <w:rsid w:val="00000C79"/>
    <w:rsid w:val="000042E8"/>
    <w:rsid w:val="00026808"/>
    <w:rsid w:val="00030063"/>
    <w:rsid w:val="00030FAE"/>
    <w:rsid w:val="00035699"/>
    <w:rsid w:val="00043866"/>
    <w:rsid w:val="00045FE1"/>
    <w:rsid w:val="0005101D"/>
    <w:rsid w:val="00053A63"/>
    <w:rsid w:val="00055294"/>
    <w:rsid w:val="000728E6"/>
    <w:rsid w:val="00076AA5"/>
    <w:rsid w:val="00082391"/>
    <w:rsid w:val="00085405"/>
    <w:rsid w:val="00094402"/>
    <w:rsid w:val="000A1E2A"/>
    <w:rsid w:val="000B41A5"/>
    <w:rsid w:val="000B79A4"/>
    <w:rsid w:val="000D21E6"/>
    <w:rsid w:val="000E288C"/>
    <w:rsid w:val="000F475C"/>
    <w:rsid w:val="00103AF5"/>
    <w:rsid w:val="00105661"/>
    <w:rsid w:val="00125270"/>
    <w:rsid w:val="0014278D"/>
    <w:rsid w:val="0014458F"/>
    <w:rsid w:val="00166EF7"/>
    <w:rsid w:val="001727C7"/>
    <w:rsid w:val="001836B4"/>
    <w:rsid w:val="001963E9"/>
    <w:rsid w:val="001A4FF0"/>
    <w:rsid w:val="001B444E"/>
    <w:rsid w:val="001B71A3"/>
    <w:rsid w:val="001C1545"/>
    <w:rsid w:val="001C1B44"/>
    <w:rsid w:val="001C56C4"/>
    <w:rsid w:val="001E02A3"/>
    <w:rsid w:val="001F25F8"/>
    <w:rsid w:val="002013E7"/>
    <w:rsid w:val="00213509"/>
    <w:rsid w:val="00230FFD"/>
    <w:rsid w:val="00237E3D"/>
    <w:rsid w:val="0024574D"/>
    <w:rsid w:val="002609EF"/>
    <w:rsid w:val="00265270"/>
    <w:rsid w:val="00286F08"/>
    <w:rsid w:val="002A0764"/>
    <w:rsid w:val="002A66D5"/>
    <w:rsid w:val="002A7629"/>
    <w:rsid w:val="002B6B4E"/>
    <w:rsid w:val="002B7055"/>
    <w:rsid w:val="002C2BDB"/>
    <w:rsid w:val="002C5292"/>
    <w:rsid w:val="002E0D24"/>
    <w:rsid w:val="002E5F81"/>
    <w:rsid w:val="002F628A"/>
    <w:rsid w:val="00306EBF"/>
    <w:rsid w:val="00313A5A"/>
    <w:rsid w:val="0032521C"/>
    <w:rsid w:val="00325C82"/>
    <w:rsid w:val="0032749E"/>
    <w:rsid w:val="003349BD"/>
    <w:rsid w:val="003515A0"/>
    <w:rsid w:val="00351A4E"/>
    <w:rsid w:val="0037143F"/>
    <w:rsid w:val="00372403"/>
    <w:rsid w:val="003724C8"/>
    <w:rsid w:val="003866B3"/>
    <w:rsid w:val="003956E3"/>
    <w:rsid w:val="003A58B6"/>
    <w:rsid w:val="003E6DF9"/>
    <w:rsid w:val="003F295D"/>
    <w:rsid w:val="003F3F10"/>
    <w:rsid w:val="00412397"/>
    <w:rsid w:val="00414479"/>
    <w:rsid w:val="00420B19"/>
    <w:rsid w:val="004301B4"/>
    <w:rsid w:val="00430405"/>
    <w:rsid w:val="00431E8E"/>
    <w:rsid w:val="00434002"/>
    <w:rsid w:val="0043721C"/>
    <w:rsid w:val="00445BC8"/>
    <w:rsid w:val="00456BD1"/>
    <w:rsid w:val="00461798"/>
    <w:rsid w:val="004662E6"/>
    <w:rsid w:val="00466371"/>
    <w:rsid w:val="00471CFD"/>
    <w:rsid w:val="00477AC2"/>
    <w:rsid w:val="0048711F"/>
    <w:rsid w:val="004A42E2"/>
    <w:rsid w:val="004B6204"/>
    <w:rsid w:val="004B7BE3"/>
    <w:rsid w:val="004D2F20"/>
    <w:rsid w:val="004F6CA0"/>
    <w:rsid w:val="00520027"/>
    <w:rsid w:val="005246F2"/>
    <w:rsid w:val="00525825"/>
    <w:rsid w:val="00542593"/>
    <w:rsid w:val="00545473"/>
    <w:rsid w:val="0055632F"/>
    <w:rsid w:val="00556816"/>
    <w:rsid w:val="005714D3"/>
    <w:rsid w:val="00574D8A"/>
    <w:rsid w:val="00582377"/>
    <w:rsid w:val="005849FE"/>
    <w:rsid w:val="005A4266"/>
    <w:rsid w:val="005A7419"/>
    <w:rsid w:val="005C7ECF"/>
    <w:rsid w:val="005F0A64"/>
    <w:rsid w:val="005F3AEE"/>
    <w:rsid w:val="005F7451"/>
    <w:rsid w:val="005F79F7"/>
    <w:rsid w:val="006078A3"/>
    <w:rsid w:val="0061448C"/>
    <w:rsid w:val="00614B92"/>
    <w:rsid w:val="00624FF2"/>
    <w:rsid w:val="006411FB"/>
    <w:rsid w:val="0065094A"/>
    <w:rsid w:val="00650CB4"/>
    <w:rsid w:val="00653774"/>
    <w:rsid w:val="006544F5"/>
    <w:rsid w:val="00657239"/>
    <w:rsid w:val="006573F0"/>
    <w:rsid w:val="00665CCC"/>
    <w:rsid w:val="00666B75"/>
    <w:rsid w:val="00670891"/>
    <w:rsid w:val="006823CC"/>
    <w:rsid w:val="00697915"/>
    <w:rsid w:val="006A6EA2"/>
    <w:rsid w:val="006A7639"/>
    <w:rsid w:val="006B662C"/>
    <w:rsid w:val="006C1D49"/>
    <w:rsid w:val="006D663C"/>
    <w:rsid w:val="006D75CB"/>
    <w:rsid w:val="006E2628"/>
    <w:rsid w:val="006E670B"/>
    <w:rsid w:val="006E6C6D"/>
    <w:rsid w:val="006F5ACD"/>
    <w:rsid w:val="006F5F7C"/>
    <w:rsid w:val="00705996"/>
    <w:rsid w:val="00711B0F"/>
    <w:rsid w:val="00721290"/>
    <w:rsid w:val="0072442E"/>
    <w:rsid w:val="0073101F"/>
    <w:rsid w:val="007370DF"/>
    <w:rsid w:val="007506A6"/>
    <w:rsid w:val="00752495"/>
    <w:rsid w:val="007534F0"/>
    <w:rsid w:val="00765739"/>
    <w:rsid w:val="00765F20"/>
    <w:rsid w:val="00771926"/>
    <w:rsid w:val="007802B6"/>
    <w:rsid w:val="007902A5"/>
    <w:rsid w:val="00793187"/>
    <w:rsid w:val="00794C89"/>
    <w:rsid w:val="007A2587"/>
    <w:rsid w:val="007A41EC"/>
    <w:rsid w:val="007B028E"/>
    <w:rsid w:val="007D6248"/>
    <w:rsid w:val="007E0B01"/>
    <w:rsid w:val="007E1C68"/>
    <w:rsid w:val="007E1CFB"/>
    <w:rsid w:val="007E2217"/>
    <w:rsid w:val="007F64E2"/>
    <w:rsid w:val="00807CDC"/>
    <w:rsid w:val="00813A55"/>
    <w:rsid w:val="0081605F"/>
    <w:rsid w:val="008174DB"/>
    <w:rsid w:val="00830E2C"/>
    <w:rsid w:val="00840A18"/>
    <w:rsid w:val="00841F47"/>
    <w:rsid w:val="00857BEF"/>
    <w:rsid w:val="008673D8"/>
    <w:rsid w:val="008725D0"/>
    <w:rsid w:val="0088420E"/>
    <w:rsid w:val="008911BB"/>
    <w:rsid w:val="00891B36"/>
    <w:rsid w:val="008A0FA8"/>
    <w:rsid w:val="008A2A47"/>
    <w:rsid w:val="008A2E87"/>
    <w:rsid w:val="008B0B13"/>
    <w:rsid w:val="008B1E04"/>
    <w:rsid w:val="008B1F2E"/>
    <w:rsid w:val="008B6EB4"/>
    <w:rsid w:val="008C3F4C"/>
    <w:rsid w:val="008C6773"/>
    <w:rsid w:val="008C695C"/>
    <w:rsid w:val="008E2C30"/>
    <w:rsid w:val="008E7325"/>
    <w:rsid w:val="0090040A"/>
    <w:rsid w:val="00903010"/>
    <w:rsid w:val="00910AEE"/>
    <w:rsid w:val="0091335D"/>
    <w:rsid w:val="009410DF"/>
    <w:rsid w:val="00951502"/>
    <w:rsid w:val="009529DD"/>
    <w:rsid w:val="009543F7"/>
    <w:rsid w:val="009546F1"/>
    <w:rsid w:val="0097096B"/>
    <w:rsid w:val="00973098"/>
    <w:rsid w:val="00986607"/>
    <w:rsid w:val="0099159E"/>
    <w:rsid w:val="00992F84"/>
    <w:rsid w:val="009A324E"/>
    <w:rsid w:val="009B1392"/>
    <w:rsid w:val="009B1CAE"/>
    <w:rsid w:val="009B5F4A"/>
    <w:rsid w:val="009B6271"/>
    <w:rsid w:val="009B76AB"/>
    <w:rsid w:val="009C0374"/>
    <w:rsid w:val="009C250A"/>
    <w:rsid w:val="009E680F"/>
    <w:rsid w:val="00A07D40"/>
    <w:rsid w:val="00A13950"/>
    <w:rsid w:val="00A17E88"/>
    <w:rsid w:val="00A61CE2"/>
    <w:rsid w:val="00A75F48"/>
    <w:rsid w:val="00A87EB6"/>
    <w:rsid w:val="00AB19F7"/>
    <w:rsid w:val="00AB4DE1"/>
    <w:rsid w:val="00AB6ED7"/>
    <w:rsid w:val="00AC3598"/>
    <w:rsid w:val="00AD7177"/>
    <w:rsid w:val="00AD7B6E"/>
    <w:rsid w:val="00B02CB5"/>
    <w:rsid w:val="00B057C2"/>
    <w:rsid w:val="00B06B78"/>
    <w:rsid w:val="00B13E8A"/>
    <w:rsid w:val="00B15D7E"/>
    <w:rsid w:val="00B21AF6"/>
    <w:rsid w:val="00B23077"/>
    <w:rsid w:val="00B42510"/>
    <w:rsid w:val="00B43551"/>
    <w:rsid w:val="00B456B9"/>
    <w:rsid w:val="00B529E3"/>
    <w:rsid w:val="00B565CB"/>
    <w:rsid w:val="00B7366A"/>
    <w:rsid w:val="00B73E7D"/>
    <w:rsid w:val="00B8496E"/>
    <w:rsid w:val="00BA5991"/>
    <w:rsid w:val="00BB0056"/>
    <w:rsid w:val="00BC60C4"/>
    <w:rsid w:val="00BD2AC5"/>
    <w:rsid w:val="00BE4946"/>
    <w:rsid w:val="00BE756C"/>
    <w:rsid w:val="00BF1EDB"/>
    <w:rsid w:val="00C14F67"/>
    <w:rsid w:val="00C37D99"/>
    <w:rsid w:val="00C41F6E"/>
    <w:rsid w:val="00C47922"/>
    <w:rsid w:val="00C55E0C"/>
    <w:rsid w:val="00C613A7"/>
    <w:rsid w:val="00C6335E"/>
    <w:rsid w:val="00C676C7"/>
    <w:rsid w:val="00C81CDA"/>
    <w:rsid w:val="00C84ED1"/>
    <w:rsid w:val="00C87461"/>
    <w:rsid w:val="00CB0901"/>
    <w:rsid w:val="00CB1DEB"/>
    <w:rsid w:val="00CB2CD8"/>
    <w:rsid w:val="00CB608D"/>
    <w:rsid w:val="00CC588A"/>
    <w:rsid w:val="00CC695A"/>
    <w:rsid w:val="00CE1B47"/>
    <w:rsid w:val="00CE6E63"/>
    <w:rsid w:val="00D042E2"/>
    <w:rsid w:val="00D2591A"/>
    <w:rsid w:val="00D45E2D"/>
    <w:rsid w:val="00D55A85"/>
    <w:rsid w:val="00D60EDF"/>
    <w:rsid w:val="00D66CFB"/>
    <w:rsid w:val="00D8158C"/>
    <w:rsid w:val="00DA0961"/>
    <w:rsid w:val="00DA6CCF"/>
    <w:rsid w:val="00DB5E00"/>
    <w:rsid w:val="00DB6A31"/>
    <w:rsid w:val="00DB6A38"/>
    <w:rsid w:val="00DC7666"/>
    <w:rsid w:val="00DD330F"/>
    <w:rsid w:val="00DD471C"/>
    <w:rsid w:val="00DD5A5C"/>
    <w:rsid w:val="00DE5271"/>
    <w:rsid w:val="00DE5421"/>
    <w:rsid w:val="00DE5B31"/>
    <w:rsid w:val="00DE7779"/>
    <w:rsid w:val="00E00C4B"/>
    <w:rsid w:val="00E174AE"/>
    <w:rsid w:val="00E2153B"/>
    <w:rsid w:val="00E2347B"/>
    <w:rsid w:val="00E26185"/>
    <w:rsid w:val="00E27BDA"/>
    <w:rsid w:val="00E310A3"/>
    <w:rsid w:val="00E32784"/>
    <w:rsid w:val="00E33B64"/>
    <w:rsid w:val="00E354C1"/>
    <w:rsid w:val="00E4367B"/>
    <w:rsid w:val="00E53093"/>
    <w:rsid w:val="00E56589"/>
    <w:rsid w:val="00E56A69"/>
    <w:rsid w:val="00E620FC"/>
    <w:rsid w:val="00E70182"/>
    <w:rsid w:val="00E710CA"/>
    <w:rsid w:val="00E748BD"/>
    <w:rsid w:val="00E757AC"/>
    <w:rsid w:val="00E83086"/>
    <w:rsid w:val="00E8426A"/>
    <w:rsid w:val="00E91190"/>
    <w:rsid w:val="00EA6400"/>
    <w:rsid w:val="00EA79AC"/>
    <w:rsid w:val="00EB1B5E"/>
    <w:rsid w:val="00EB4B1C"/>
    <w:rsid w:val="00EC4B15"/>
    <w:rsid w:val="00ED2BEE"/>
    <w:rsid w:val="00EE1A01"/>
    <w:rsid w:val="00EE228E"/>
    <w:rsid w:val="00EE4660"/>
    <w:rsid w:val="00EF5B8A"/>
    <w:rsid w:val="00EF6B8A"/>
    <w:rsid w:val="00F01CBD"/>
    <w:rsid w:val="00F12522"/>
    <w:rsid w:val="00F30813"/>
    <w:rsid w:val="00F33727"/>
    <w:rsid w:val="00F36BE5"/>
    <w:rsid w:val="00F60923"/>
    <w:rsid w:val="00F63FF0"/>
    <w:rsid w:val="00F66421"/>
    <w:rsid w:val="00F733B7"/>
    <w:rsid w:val="00F84160"/>
    <w:rsid w:val="00F86CE2"/>
    <w:rsid w:val="00FB04F4"/>
    <w:rsid w:val="00FB4BEF"/>
    <w:rsid w:val="00FC4C18"/>
    <w:rsid w:val="00FC5395"/>
    <w:rsid w:val="00FD434E"/>
    <w:rsid w:val="00FD7A3A"/>
    <w:rsid w:val="00FE01E8"/>
    <w:rsid w:val="00FE599E"/>
    <w:rsid w:val="00FF2E59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F85D"/>
  <w15:chartTrackingRefBased/>
  <w15:docId w15:val="{56DD414A-BAC5-D645-B8DD-75E0BA1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3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5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66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04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04F4"/>
  </w:style>
  <w:style w:type="paragraph" w:styleId="Fuzeile">
    <w:name w:val="footer"/>
    <w:basedOn w:val="Standard"/>
    <w:link w:val="FuzeileZchn"/>
    <w:uiPriority w:val="99"/>
    <w:unhideWhenUsed/>
    <w:rsid w:val="00FB04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04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B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B3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4367B"/>
  </w:style>
  <w:style w:type="character" w:customStyle="1" w:styleId="berschrift1Zchn">
    <w:name w:val="Überschrift 1 Zchn"/>
    <w:basedOn w:val="Absatz-Standardschriftart"/>
    <w:link w:val="berschrift1"/>
    <w:uiPriority w:val="9"/>
    <w:rsid w:val="00E4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591A"/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591A"/>
    <w:pPr>
      <w:spacing w:before="480" w:line="276" w:lineRule="auto"/>
      <w:outlineLvl w:val="9"/>
    </w:pPr>
    <w:rPr>
      <w:b/>
      <w:bCs/>
      <w:sz w:val="28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E01E8"/>
    <w:pPr>
      <w:tabs>
        <w:tab w:val="left" w:pos="720"/>
        <w:tab w:val="right" w:leader="dot" w:pos="9056"/>
      </w:tabs>
      <w:spacing w:before="120"/>
      <w:ind w:left="24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2591A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2591A"/>
    <w:pPr>
      <w:spacing w:before="120"/>
    </w:pPr>
    <w:rPr>
      <w:rFonts w:cstheme="minorHAnsi"/>
      <w:b/>
      <w:bCs/>
      <w:i/>
      <w:iCs/>
    </w:rPr>
  </w:style>
  <w:style w:type="paragraph" w:styleId="Verzeichnis3">
    <w:name w:val="toc 3"/>
    <w:basedOn w:val="Standard"/>
    <w:next w:val="Standard"/>
    <w:autoRedefine/>
    <w:uiPriority w:val="39"/>
    <w:unhideWhenUsed/>
    <w:rsid w:val="00D042E2"/>
    <w:pPr>
      <w:tabs>
        <w:tab w:val="right" w:leader="dot" w:pos="9056"/>
      </w:tabs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2591A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2591A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2591A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2591A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2591A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2591A"/>
    <w:pPr>
      <w:ind w:left="1920"/>
    </w:pPr>
    <w:rPr>
      <w:rFonts w:cstheme="minorHAnsi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591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eitenzahl">
    <w:name w:val="page number"/>
    <w:basedOn w:val="Absatz-Standardschriftart"/>
    <w:uiPriority w:val="99"/>
    <w:semiHidden/>
    <w:unhideWhenUsed/>
    <w:rsid w:val="00DE7779"/>
  </w:style>
  <w:style w:type="table" w:styleId="Tabellenraster">
    <w:name w:val="Table Grid"/>
    <w:basedOn w:val="NormaleTabelle"/>
    <w:uiPriority w:val="39"/>
    <w:rsid w:val="009C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6A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6A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6A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6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yto.news/Reimburse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D8628A-3315-5646-8CF9-53607ED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1640</Words>
  <Characters>12732</Characters>
  <Application>Microsoft Office Word</Application>
  <DocSecurity>0</DocSecurity>
  <Lines>296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CytoSorbents Europe GmbH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Humbert</dc:creator>
  <cp:keywords/>
  <dc:description/>
  <cp:lastModifiedBy>Franziska Preissing</cp:lastModifiedBy>
  <cp:revision>4</cp:revision>
  <dcterms:created xsi:type="dcterms:W3CDTF">2025-01-31T11:56:00Z</dcterms:created>
  <dcterms:modified xsi:type="dcterms:W3CDTF">2026-01-23T06:51:00Z</dcterms:modified>
</cp:coreProperties>
</file>